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leNormal"/>
        <w:tblW w:w="10026" w:type="dxa"/>
        <w:jc w:val="left"/>
        <w:tblInd w:w="11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10026"/>
      </w:tblGrid>
      <w:tr>
        <w:trPr>
          <w:trHeight w:val="606" w:hRule="atLeast"/>
        </w:trPr>
        <w:tc>
          <w:tcPr>
            <w:tcW w:w="10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1F3" w:val="clear"/>
          </w:tcPr>
          <w:p>
            <w:pPr>
              <w:pStyle w:val="TableParagraph"/>
              <w:widowControl w:val="false"/>
              <w:suppressAutoHyphens w:val="true"/>
              <w:spacing w:lineRule="exact" w:line="282" w:before="0" w:after="0"/>
              <w:ind w:left="1238" w:right="122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ADJUDICAÇÃO COMPULSÓRIA EXTRAJUDICIAL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9" w:before="0" w:after="0"/>
              <w:ind w:left="1238" w:right="1226" w:hanging="0"/>
              <w:jc w:val="center"/>
              <w:rPr>
                <w:lang w:val="en-US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(Art.</w:t>
            </w:r>
            <w:r>
              <w:rPr>
                <w:spacing w:val="-3"/>
                <w:kern w:val="0"/>
                <w:sz w:val="22"/>
                <w:szCs w:val="22"/>
                <w:lang w:val="en-US" w:eastAsia="en-US" w:bidi="ar-SA"/>
              </w:rPr>
              <w:t xml:space="preserve"> 1008 a 1.026 do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CNCGFE/SC)</w:t>
            </w:r>
          </w:p>
        </w:tc>
      </w:tr>
      <w:tr>
        <w:trPr>
          <w:trHeight w:val="93" w:hRule="atLeast"/>
        </w:trPr>
        <w:tc>
          <w:tcPr>
            <w:tcW w:w="10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2" w:right="102" w:hanging="0"/>
              <w:contextualSpacing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Art. 1.008. Os promitentes compradores, promitentes vendedores, promitentes permutantes, seus cessionários e sucessores podem exigir a outorga da escritura definitiva de compra e venda ou permuta, conforme o disposto no instrumento preliminar, desde que dele não conste cláusula de arrependimento; e, se houver recusa, requerer a adjudicação do imóvel perante o registro de imóveis competente, sem prejuízo da via jurisdicional.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22" w:right="102" w:hanging="0"/>
              <w:contextualSpacing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Parágrafo único. Consideram-se ineficazes cláusulas de arrependimento constantes de contratos preliminares celebrados nos termos do art. 25 da Lei n. 6.766/79 e do art. 32, § 2º, da Lei 4.591/64.</w:t>
            </w:r>
          </w:p>
        </w:tc>
      </w:tr>
      <w:tr>
        <w:trPr>
          <w:trHeight w:val="289" w:hRule="atLeast"/>
        </w:trPr>
        <w:tc>
          <w:tcPr>
            <w:tcW w:w="10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1F3" w:val="clear"/>
          </w:tcPr>
          <w:p>
            <w:pPr>
              <w:pStyle w:val="TableParagraph"/>
              <w:widowControl w:val="false"/>
              <w:suppressAutoHyphens w:val="true"/>
              <w:spacing w:lineRule="exact" w:line="248" w:before="0" w:after="0"/>
              <w:ind w:left="1238" w:right="1231" w:hanging="0"/>
              <w:jc w:val="center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DOCUMENTOS</w:t>
            </w:r>
            <w:r>
              <w:rPr>
                <w:b/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NECESSÁRIOS</w:t>
            </w:r>
          </w:p>
        </w:tc>
      </w:tr>
      <w:tr>
        <w:trPr>
          <w:trHeight w:val="5822" w:hRule="atLeast"/>
        </w:trPr>
        <w:tc>
          <w:tcPr>
            <w:tcW w:w="10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right="34" w:hanging="0"/>
              <w:contextualSpacing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kern w:val="0"/>
                <w:sz w:val="24"/>
                <w:szCs w:val="24"/>
                <w:lang w:eastAsia="en-US" w:bidi="ar-SA"/>
              </w:rPr>
              <w:t xml:space="preserve">1. Em atenção ao artigo 1.015 do CNCGJ/SC, o </w:t>
            </w:r>
            <w:r>
              <w:rPr>
                <w:rFonts w:cs="Calibri" w:cstheme="minorHAnsi"/>
                <w:b/>
                <w:kern w:val="0"/>
                <w:sz w:val="24"/>
                <w:szCs w:val="24"/>
                <w:u w:val="single"/>
                <w:lang w:eastAsia="en-US" w:bidi="ar-SA"/>
              </w:rPr>
              <w:t>requerimento</w:t>
            </w:r>
            <w:r>
              <w:rPr>
                <w:rFonts w:cs="Calibri" w:cstheme="minorHAnsi"/>
                <w:b/>
                <w:bCs/>
                <w:kern w:val="0"/>
                <w:sz w:val="24"/>
                <w:szCs w:val="24"/>
                <w:u w:val="single"/>
                <w:lang w:eastAsia="en-US" w:bidi="ar-SA"/>
              </w:rPr>
              <w:t xml:space="preserve"> de instauração do processo de adjudicação</w:t>
            </w:r>
            <w:r>
              <w:rPr>
                <w:rFonts w:cs="Calibri" w:cstheme="minorHAnsi"/>
                <w:kern w:val="0"/>
                <w:sz w:val="24"/>
                <w:szCs w:val="24"/>
                <w:lang w:eastAsia="en-US" w:bidi="ar-SA"/>
              </w:rPr>
              <w:t xml:space="preserve"> compulsória atenderá, no que couber, aos requisitos da petição inicial, estabelecidos pelo art. 319 do Código de Processo Civil, bem como indicará: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34" w:hanging="0"/>
              <w:contextualSpacing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kern w:val="0"/>
                <w:sz w:val="24"/>
                <w:szCs w:val="24"/>
                <w:lang w:eastAsia="en-US" w:bidi="ar-SA"/>
              </w:rPr>
              <w:t xml:space="preserve">I – </w:t>
            </w:r>
            <w:r>
              <w:rPr>
                <w:rFonts w:cs="Calibri" w:cstheme="minorHAnsi"/>
                <w:b/>
                <w:bCs/>
                <w:kern w:val="0"/>
                <w:sz w:val="24"/>
                <w:szCs w:val="24"/>
                <w:lang w:eastAsia="en-US" w:bidi="ar-SA"/>
              </w:rPr>
              <w:t>a qualificação e endereço do requerente e do requerido</w:t>
            </w:r>
            <w:r>
              <w:rPr>
                <w:rFonts w:cs="Calibri" w:cstheme="minorHAnsi"/>
                <w:kern w:val="0"/>
                <w:sz w:val="24"/>
                <w:szCs w:val="24"/>
                <w:lang w:eastAsia="en-US" w:bidi="ar-SA"/>
              </w:rPr>
              <w:t>, nos termos do art. 287 deste Código de Normas;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34" w:hanging="0"/>
              <w:contextualSpacing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kern w:val="0"/>
                <w:sz w:val="24"/>
                <w:szCs w:val="24"/>
                <w:lang w:eastAsia="en-US" w:bidi="ar-SA"/>
              </w:rPr>
              <w:t xml:space="preserve">II – o </w:t>
            </w:r>
            <w:r>
              <w:rPr>
                <w:rFonts w:cs="Calibri" w:cstheme="minorHAnsi"/>
                <w:b/>
                <w:bCs/>
                <w:kern w:val="0"/>
                <w:sz w:val="24"/>
                <w:szCs w:val="24"/>
                <w:lang w:eastAsia="en-US" w:bidi="ar-SA"/>
              </w:rPr>
              <w:t>endereço eletrônico (e-mail) do procurador</w:t>
            </w:r>
            <w:r>
              <w:rPr>
                <w:rFonts w:cs="Calibri" w:cstheme="minorHAnsi"/>
                <w:kern w:val="0"/>
                <w:sz w:val="24"/>
                <w:szCs w:val="24"/>
                <w:lang w:eastAsia="en-US" w:bidi="ar-SA"/>
              </w:rPr>
              <w:t>, para receber as intimações do procedimento;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34" w:hanging="0"/>
              <w:contextualSpacing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kern w:val="0"/>
                <w:sz w:val="24"/>
                <w:szCs w:val="24"/>
                <w:lang w:eastAsia="en-US" w:bidi="ar-SA"/>
              </w:rPr>
              <w:t xml:space="preserve">III – a </w:t>
            </w:r>
            <w:r>
              <w:rPr>
                <w:rFonts w:cs="Calibri" w:cstheme="minorHAnsi"/>
                <w:b/>
                <w:bCs/>
                <w:kern w:val="0"/>
                <w:sz w:val="24"/>
                <w:szCs w:val="24"/>
                <w:lang w:eastAsia="en-US" w:bidi="ar-SA"/>
              </w:rPr>
              <w:t>identificação do imóvel, com menção da matrícula ou transcrição</w:t>
            </w:r>
            <w:r>
              <w:rPr>
                <w:rFonts w:cs="Calibri" w:cstheme="minorHAnsi"/>
                <w:kern w:val="0"/>
                <w:sz w:val="24"/>
                <w:szCs w:val="24"/>
                <w:lang w:eastAsia="en-US" w:bidi="ar-SA"/>
              </w:rPr>
              <w:t>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34" w:hanging="0"/>
              <w:contextualSpacing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kern w:val="0"/>
                <w:sz w:val="24"/>
                <w:szCs w:val="24"/>
                <w:lang w:eastAsia="en-US" w:bidi="ar-SA"/>
              </w:rPr>
              <w:t xml:space="preserve">IV – o </w:t>
            </w:r>
            <w:r>
              <w:rPr>
                <w:rFonts w:cs="Calibri" w:cstheme="minorHAnsi"/>
                <w:b/>
                <w:bCs/>
                <w:kern w:val="0"/>
                <w:sz w:val="24"/>
                <w:szCs w:val="24"/>
                <w:lang w:eastAsia="en-US" w:bidi="ar-SA"/>
              </w:rPr>
              <w:t>valor</w:t>
            </w:r>
            <w:r>
              <w:rPr>
                <w:rFonts w:cs="Calibri" w:cstheme="minorHAnsi"/>
                <w:kern w:val="0"/>
                <w:sz w:val="24"/>
                <w:szCs w:val="24"/>
                <w:lang w:eastAsia="en-US" w:bidi="ar-SA"/>
              </w:rPr>
              <w:t xml:space="preserve"> fiscal e de mercado do imóvel;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34" w:hanging="0"/>
              <w:contextualSpacing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kern w:val="0"/>
                <w:sz w:val="24"/>
                <w:szCs w:val="24"/>
                <w:lang w:eastAsia="en-US" w:bidi="ar-SA"/>
              </w:rPr>
              <w:t xml:space="preserve">V – se for o caso, o </w:t>
            </w:r>
            <w:r>
              <w:rPr>
                <w:rFonts w:cs="Calibri" w:cstheme="minorHAnsi"/>
                <w:b/>
                <w:bCs/>
                <w:kern w:val="0"/>
                <w:sz w:val="24"/>
                <w:szCs w:val="24"/>
                <w:lang w:eastAsia="en-US" w:bidi="ar-SA"/>
              </w:rPr>
              <w:t>histórico de atos e negócios jurídicos que levaram à cessão ou à sucessão de titularidades, com menção circunstanciada dos instrumentos</w:t>
            </w:r>
            <w:r>
              <w:rPr>
                <w:rFonts w:cs="Calibri" w:cstheme="minorHAnsi"/>
                <w:kern w:val="0"/>
                <w:sz w:val="24"/>
                <w:szCs w:val="24"/>
                <w:lang w:eastAsia="en-US" w:bidi="ar-SA"/>
              </w:rPr>
              <w:t>, valores, natureza das estipulações, existência ou não de direito de arrependimento e indicação específica de quem haverá de constar como requerido;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34" w:hanging="0"/>
              <w:contextualSpacing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kern w:val="0"/>
                <w:sz w:val="24"/>
                <w:szCs w:val="24"/>
                <w:lang w:eastAsia="en-US" w:bidi="ar-SA"/>
              </w:rPr>
              <w:t xml:space="preserve">VI – a </w:t>
            </w:r>
            <w:r>
              <w:rPr>
                <w:rFonts w:cs="Calibri" w:cstheme="minorHAnsi"/>
                <w:b/>
                <w:bCs/>
                <w:kern w:val="0"/>
                <w:sz w:val="24"/>
                <w:szCs w:val="24"/>
                <w:lang w:eastAsia="en-US" w:bidi="ar-SA"/>
              </w:rPr>
              <w:t>declaração do interessado</w:t>
            </w:r>
            <w:r>
              <w:rPr>
                <w:rFonts w:cs="Calibri" w:cstheme="minorHAnsi"/>
                <w:kern w:val="0"/>
                <w:sz w:val="24"/>
                <w:szCs w:val="24"/>
                <w:lang w:eastAsia="en-US" w:bidi="ar-SA"/>
              </w:rPr>
              <w:t xml:space="preserve">, sob as penas da lei, </w:t>
            </w:r>
            <w:r>
              <w:rPr>
                <w:rFonts w:cs="Calibri" w:cstheme="minorHAnsi"/>
                <w:b/>
                <w:bCs/>
                <w:kern w:val="0"/>
                <w:sz w:val="24"/>
                <w:szCs w:val="24"/>
                <w:lang w:eastAsia="en-US" w:bidi="ar-SA"/>
              </w:rPr>
              <w:t>quanto à inexistência de processo judicial cujo objeto possa prejudicar o direito alegado</w:t>
            </w:r>
            <w:r>
              <w:rPr>
                <w:rFonts w:cs="Calibri" w:cstheme="minorHAnsi"/>
                <w:kern w:val="0"/>
                <w:sz w:val="24"/>
                <w:szCs w:val="24"/>
                <w:lang w:eastAsia="en-US" w:bidi="ar-SA"/>
              </w:rPr>
              <w:t xml:space="preserve"> ou de ter sido verificada a hipótese prevista no art. 1.177 deste Código de Normas;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34" w:hanging="0"/>
              <w:contextualSpacing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kern w:val="0"/>
                <w:sz w:val="24"/>
                <w:szCs w:val="24"/>
                <w:lang w:eastAsia="en-US" w:bidi="ar-SA"/>
              </w:rPr>
              <w:t xml:space="preserve">VII – o </w:t>
            </w:r>
            <w:r>
              <w:rPr>
                <w:rFonts w:cs="Calibri" w:cstheme="minorHAnsi"/>
                <w:b/>
                <w:bCs/>
                <w:kern w:val="0"/>
                <w:sz w:val="24"/>
                <w:szCs w:val="24"/>
                <w:lang w:eastAsia="en-US" w:bidi="ar-SA"/>
              </w:rPr>
              <w:t>pedido de notificação do requerido</w:t>
            </w:r>
            <w:r>
              <w:rPr>
                <w:rFonts w:cs="Calibri" w:cstheme="minorHAnsi"/>
                <w:kern w:val="0"/>
                <w:sz w:val="24"/>
                <w:szCs w:val="24"/>
                <w:lang w:eastAsia="en-US" w:bidi="ar-SA"/>
              </w:rPr>
              <w:t>, para, querendo, se manifestar no prazo de 15 (quinze) dias úteis; 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34" w:hanging="0"/>
              <w:contextualSpacing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kern w:val="0"/>
                <w:sz w:val="24"/>
                <w:szCs w:val="24"/>
                <w:lang w:eastAsia="en-US" w:bidi="ar-SA"/>
              </w:rPr>
              <w:t xml:space="preserve">VIII – o </w:t>
            </w:r>
            <w:r>
              <w:rPr>
                <w:rFonts w:cs="Calibri" w:cstheme="minorHAnsi"/>
                <w:b/>
                <w:bCs/>
                <w:kern w:val="0"/>
                <w:sz w:val="24"/>
                <w:szCs w:val="24"/>
                <w:lang w:eastAsia="en-US" w:bidi="ar-SA"/>
              </w:rPr>
              <w:t>pedido de deferimento da adjudicação compulsória e de lavratura do registro</w:t>
            </w:r>
            <w:r>
              <w:rPr>
                <w:rFonts w:cs="Calibri" w:cstheme="minorHAnsi"/>
                <w:kern w:val="0"/>
                <w:sz w:val="24"/>
                <w:szCs w:val="24"/>
                <w:lang w:eastAsia="en-US" w:bidi="ar-SA"/>
              </w:rPr>
              <w:t xml:space="preserve"> necessário para a transferência da propriedade.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34" w:hanging="0"/>
              <w:contextualSpacing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kern w:val="0"/>
                <w:sz w:val="24"/>
                <w:szCs w:val="24"/>
                <w:lang w:eastAsia="en-US" w:bidi="ar-SA"/>
              </w:rPr>
              <w:t xml:space="preserve">§ 1º O requerimento inicial será </w:t>
            </w:r>
            <w:r>
              <w:rPr>
                <w:rFonts w:cs="Calibri" w:cstheme="minorHAnsi"/>
                <w:b/>
                <w:bCs/>
                <w:kern w:val="0"/>
                <w:sz w:val="24"/>
                <w:szCs w:val="24"/>
                <w:u w:val="single"/>
                <w:lang w:eastAsia="en-US" w:bidi="ar-SA"/>
              </w:rPr>
              <w:t>instruído, necessariamente, por ata notarial e pelo instrumento do ato ou negócio jurídico em que se funda a adjudicação compulsória</w:t>
            </w:r>
            <w:r>
              <w:rPr>
                <w:rFonts w:cs="Calibri" w:cstheme="minorHAnsi"/>
                <w:kern w:val="0"/>
                <w:sz w:val="24"/>
                <w:szCs w:val="24"/>
                <w:lang w:eastAsia="en-US" w:bidi="ar-SA"/>
              </w:rPr>
              <w:t>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34" w:hanging="0"/>
              <w:contextualSpacing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kern w:val="0"/>
                <w:sz w:val="24"/>
                <w:szCs w:val="24"/>
                <w:lang w:eastAsia="en-US" w:bidi="ar-SA"/>
              </w:rPr>
              <w:t>§ 2º O requerimento, juntamente com todos os documentos que o instruírem, será autuado pelo oficial do registro de imóveis competente, prorrogando-se os efeitos da prenotação até o acolhimento ou rejeição do pedido.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34" w:hanging="0"/>
              <w:contextualSpacing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36" w:hRule="atLeast"/>
        </w:trPr>
        <w:tc>
          <w:tcPr>
            <w:tcW w:w="10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0" w:after="0"/>
              <w:ind w:left="107" w:right="94" w:firstLine="4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kern w:val="0"/>
                <w:sz w:val="24"/>
                <w:szCs w:val="24"/>
                <w:lang w:eastAsia="en-US" w:bidi="ar-SA"/>
              </w:rPr>
              <w:t xml:space="preserve">2. </w:t>
            </w:r>
            <w:r>
              <w:rPr>
                <w:rFonts w:cs="Calibri" w:cstheme="minorHAnsi"/>
                <w:b/>
                <w:bCs/>
                <w:kern w:val="0"/>
                <w:sz w:val="24"/>
                <w:szCs w:val="24"/>
                <w:lang w:eastAsia="en-US" w:bidi="ar-SA"/>
              </w:rPr>
              <w:t>Se o pedido for formalizado por meio digital, os documentos devem ser</w:t>
            </w:r>
            <w:r>
              <w:rPr>
                <w:rFonts w:cs="Calibri" w:cstheme="minorHAnsi"/>
                <w:kern w:val="0"/>
                <w:sz w:val="24"/>
                <w:szCs w:val="24"/>
                <w:lang w:eastAsia="en-US" w:bidi="ar-SA"/>
              </w:rPr>
              <w:t>:</w:t>
            </w:r>
          </w:p>
          <w:p>
            <w:pPr>
              <w:pStyle w:val="TableParagraph"/>
              <w:widowControl w:val="false"/>
              <w:suppressAutoHyphens w:val="true"/>
              <w:spacing w:before="100" w:after="0"/>
              <w:ind w:left="107" w:right="94" w:firstLine="4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kern w:val="0"/>
                <w:sz w:val="24"/>
                <w:szCs w:val="24"/>
                <w:lang w:eastAsia="en-US" w:bidi="ar-SA"/>
              </w:rPr>
              <w:t>I – apresentados em formato nato-digital;</w:t>
            </w:r>
          </w:p>
          <w:p>
            <w:pPr>
              <w:pStyle w:val="TableParagraph"/>
              <w:widowControl w:val="false"/>
              <w:suppressAutoHyphens w:val="true"/>
              <w:spacing w:before="100" w:after="0"/>
              <w:ind w:left="107" w:right="94" w:firstLine="4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kern w:val="0"/>
                <w:sz w:val="24"/>
                <w:szCs w:val="24"/>
                <w:lang w:eastAsia="en-US" w:bidi="ar-SA"/>
              </w:rPr>
              <w:t>II – assinados eletronicamente de forma qualificada ou avançada;</w:t>
            </w:r>
          </w:p>
          <w:p>
            <w:pPr>
              <w:pStyle w:val="TableParagraph"/>
              <w:widowControl w:val="false"/>
              <w:suppressAutoHyphens w:val="true"/>
              <w:spacing w:before="100" w:after="0"/>
              <w:ind w:left="107" w:right="94" w:firstLine="4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kern w:val="0"/>
                <w:sz w:val="24"/>
                <w:szCs w:val="24"/>
                <w:lang w:eastAsia="en-US" w:bidi="ar-SA"/>
              </w:rPr>
              <w:t>III – digitalizados, pelo advogado, com declaração, sob sua responsabilidade pessoal, de que conferem com os originais e que permanecem em sua guarda; ou</w:t>
            </w:r>
          </w:p>
          <w:p>
            <w:pPr>
              <w:pStyle w:val="TableParagraph"/>
              <w:widowControl w:val="false"/>
              <w:suppressAutoHyphens w:val="true"/>
              <w:spacing w:before="100" w:after="0"/>
              <w:ind w:left="107" w:right="94" w:firstLine="4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kern w:val="0"/>
                <w:sz w:val="24"/>
                <w:szCs w:val="24"/>
                <w:lang w:eastAsia="en-US" w:bidi="ar-SA"/>
              </w:rPr>
              <w:t>IV – desmaterializados e autenticados por tabelião de notas.</w:t>
            </w:r>
          </w:p>
        </w:tc>
      </w:tr>
      <w:tr>
        <w:trPr>
          <w:trHeight w:val="436" w:hRule="atLeast"/>
        </w:trPr>
        <w:tc>
          <w:tcPr>
            <w:tcW w:w="10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right="34" w:hanging="0"/>
              <w:contextualSpacing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kern w:val="0"/>
                <w:sz w:val="24"/>
                <w:szCs w:val="24"/>
                <w:u w:val="single"/>
                <w:lang w:eastAsia="en-US" w:bidi="ar-SA"/>
              </w:rPr>
              <w:t>Observação</w:t>
            </w:r>
            <w:r>
              <w:rPr>
                <w:rFonts w:cs="Calibri" w:cstheme="minorHAnsi"/>
                <w:kern w:val="0"/>
                <w:sz w:val="24"/>
                <w:szCs w:val="24"/>
                <w:lang w:eastAsia="en-US" w:bidi="ar-SA"/>
              </w:rPr>
              <w:t>: Art. 1.017. O oficial analisará, em 10 (dez) dias úteis, os documentos, emitindo nota devolutiva para indicar, de forma fundamentada, as exigências e esclarecimentos que se façam necessários, designando o prazo de 10 (dez) dias úteis para o requerente.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34" w:hanging="0"/>
              <w:contextualSpacing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kern w:val="0"/>
                <w:sz w:val="24"/>
                <w:szCs w:val="24"/>
                <w:lang w:eastAsia="en-US" w:bidi="ar-SA"/>
              </w:rPr>
              <w:t>§ 1º Retomado o procedimento, o oficial terá 10 (dez) dias úteis para analisar se as exigências foram cumpridas integralmente e prestados os esclarecimentos necessários, deflagrando a fase notificatória caso não haja novas exigências ou esclarecimentos.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34" w:hanging="0"/>
              <w:contextualSpacing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kern w:val="0"/>
                <w:sz w:val="24"/>
                <w:szCs w:val="24"/>
                <w:lang w:eastAsia="en-US" w:bidi="ar-SA"/>
              </w:rPr>
              <w:t xml:space="preserve">§ 2º </w:t>
            </w:r>
            <w:r>
              <w:rPr>
                <w:rFonts w:cs="Calibri" w:cstheme="minorHAnsi"/>
                <w:b/>
                <w:bCs/>
                <w:kern w:val="0"/>
                <w:sz w:val="24"/>
                <w:szCs w:val="24"/>
                <w:u w:val="single"/>
                <w:lang w:eastAsia="en-US" w:bidi="ar-SA"/>
              </w:rPr>
              <w:t>A desídia do requerente acarretará o arquivamento do pedido</w:t>
            </w:r>
            <w:r>
              <w:rPr>
                <w:rFonts w:cs="Calibri" w:cstheme="minorHAnsi"/>
                <w:kern w:val="0"/>
                <w:sz w:val="24"/>
                <w:szCs w:val="24"/>
                <w:lang w:eastAsia="en-US" w:bidi="ar-SA"/>
              </w:rPr>
              <w:t xml:space="preserve"> com base no art. 205 da Lei n. 6.015/73, bem como o cancelamento da prenotação.</w:t>
            </w:r>
          </w:p>
        </w:tc>
      </w:tr>
      <w:tr>
        <w:trPr>
          <w:trHeight w:val="436" w:hRule="atLeast"/>
        </w:trPr>
        <w:tc>
          <w:tcPr>
            <w:tcW w:w="10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right="34" w:hanging="0"/>
              <w:contextualSpacing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kern w:val="0"/>
                <w:sz w:val="24"/>
                <w:szCs w:val="24"/>
                <w:lang w:eastAsia="en-US" w:bidi="ar-SA"/>
              </w:rPr>
              <w:t xml:space="preserve">3. Estando </w:t>
            </w:r>
            <w:r>
              <w:rPr>
                <w:rFonts w:cs="Calibri" w:cstheme="minorHAnsi"/>
                <w:b/>
                <w:bCs/>
                <w:kern w:val="0"/>
                <w:sz w:val="24"/>
                <w:szCs w:val="24"/>
                <w:lang w:eastAsia="en-US" w:bidi="ar-SA"/>
              </w:rPr>
              <w:t>apto o requerimento, o oficial expedirá notificação</w:t>
            </w:r>
            <w:r>
              <w:rPr>
                <w:rFonts w:cs="Calibri" w:cstheme="minorHAnsi"/>
                <w:kern w:val="0"/>
                <w:sz w:val="24"/>
                <w:szCs w:val="24"/>
                <w:lang w:eastAsia="en-US" w:bidi="ar-SA"/>
              </w:rPr>
              <w:t>, em atenção ao artigo 1.018 do CNCGJ/SC;</w:t>
            </w:r>
          </w:p>
        </w:tc>
      </w:tr>
      <w:tr>
        <w:trPr>
          <w:trHeight w:val="436" w:hRule="atLeast"/>
        </w:trPr>
        <w:tc>
          <w:tcPr>
            <w:tcW w:w="10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right="34" w:hanging="0"/>
              <w:contextualSpacing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kern w:val="0"/>
                <w:sz w:val="24"/>
                <w:szCs w:val="24"/>
                <w:lang w:eastAsia="en-US" w:bidi="ar-SA"/>
              </w:rPr>
              <w:t xml:space="preserve">4.  Art. 1.020. </w:t>
            </w:r>
            <w:r>
              <w:rPr>
                <w:rFonts w:cs="Calibri" w:cstheme="minorHAnsi"/>
                <w:b/>
                <w:bCs/>
                <w:kern w:val="0"/>
                <w:sz w:val="24"/>
                <w:szCs w:val="24"/>
                <w:lang w:eastAsia="en-US" w:bidi="ar-SA"/>
              </w:rPr>
              <w:t>Havendo impugnação</w:t>
            </w:r>
            <w:r>
              <w:rPr>
                <w:rFonts w:cs="Calibri" w:cstheme="minorHAnsi"/>
                <w:kern w:val="0"/>
                <w:sz w:val="24"/>
                <w:szCs w:val="24"/>
                <w:lang w:eastAsia="en-US" w:bidi="ar-SA"/>
              </w:rPr>
              <w:t>, o oficial notificará o requerente para, no prazo de 15 (quinze) dias úteis, se manifestar sobre a impugnação e, com ou sem manifestação, proferirá decisão no prazo de 10 (dez) dias úteis.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34" w:hanging="0"/>
              <w:contextualSpacing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kern w:val="0"/>
                <w:sz w:val="24"/>
                <w:szCs w:val="24"/>
                <w:lang w:eastAsia="en-US" w:bidi="ar-SA"/>
              </w:rPr>
              <w:t>Parágrafo único. Se entender viável, antes de proferir decisão, o oficial de registro de imóveis poderá instaurar a conciliação ou a mediação dos interessados.</w:t>
            </w:r>
          </w:p>
        </w:tc>
      </w:tr>
      <w:tr>
        <w:trPr>
          <w:trHeight w:val="436" w:hRule="atLeast"/>
        </w:trPr>
        <w:tc>
          <w:tcPr>
            <w:tcW w:w="10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right="34" w:hanging="0"/>
              <w:contextualSpacing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kern w:val="0"/>
                <w:sz w:val="24"/>
                <w:szCs w:val="24"/>
                <w:lang w:eastAsia="en-US" w:bidi="ar-SA"/>
              </w:rPr>
              <w:t xml:space="preserve">5. Art. 1.021. </w:t>
            </w:r>
            <w:r>
              <w:rPr>
                <w:rFonts w:cs="Calibri" w:cstheme="minorHAnsi"/>
                <w:b/>
                <w:bCs/>
                <w:kern w:val="0"/>
                <w:sz w:val="24"/>
                <w:szCs w:val="24"/>
                <w:lang w:eastAsia="en-US" w:bidi="ar-SA"/>
              </w:rPr>
              <w:t>Rejeitada a impugnação, o requerido poderá recorrer, no prazo de 10 (dez) dias úteis</w:t>
            </w:r>
            <w:r>
              <w:rPr>
                <w:rFonts w:cs="Calibri" w:cstheme="minorHAnsi"/>
                <w:kern w:val="0"/>
                <w:sz w:val="24"/>
                <w:szCs w:val="24"/>
                <w:lang w:eastAsia="en-US" w:bidi="ar-SA"/>
              </w:rPr>
              <w:t>, e o oficial de registro de imóveis notificará o requerente para se manifestar em igual prazo sobre o recurso.</w:t>
            </w:r>
          </w:p>
        </w:tc>
      </w:tr>
      <w:tr>
        <w:trPr>
          <w:trHeight w:val="436" w:hRule="atLeast"/>
        </w:trPr>
        <w:tc>
          <w:tcPr>
            <w:tcW w:w="10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right="34" w:hanging="0"/>
              <w:contextualSpacing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kern w:val="0"/>
                <w:sz w:val="24"/>
                <w:szCs w:val="24"/>
                <w:lang w:eastAsia="en-US" w:bidi="ar-SA"/>
              </w:rPr>
              <w:t xml:space="preserve">6. Art. 1.022. </w:t>
            </w:r>
            <w:r>
              <w:rPr>
                <w:rFonts w:cs="Calibri" w:cstheme="minorHAnsi"/>
                <w:b/>
                <w:bCs/>
                <w:kern w:val="0"/>
                <w:sz w:val="24"/>
                <w:szCs w:val="24"/>
                <w:lang w:eastAsia="en-US" w:bidi="ar-SA"/>
              </w:rPr>
              <w:t>Acolhida a impugnação, o oficial de registro de imóveis notificará o requerente para que se manifeste em 10 (dez) dias úteis</w:t>
            </w:r>
            <w:r>
              <w:rPr>
                <w:rFonts w:cs="Calibri" w:cstheme="minorHAnsi"/>
                <w:kern w:val="0"/>
                <w:sz w:val="24"/>
                <w:szCs w:val="24"/>
                <w:lang w:eastAsia="en-US" w:bidi="ar-SA"/>
              </w:rPr>
              <w:t>; se não houver insurgência do requerente contra o acolhimento da impugnação, o processo será extinto e cancelada 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34" w:hanging="0"/>
              <w:contextualSpacing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kern w:val="0"/>
                <w:sz w:val="24"/>
                <w:szCs w:val="24"/>
                <w:lang w:eastAsia="en-US" w:bidi="ar-SA"/>
              </w:rPr>
              <w:t>prenotação.</w:t>
            </w:r>
          </w:p>
        </w:tc>
      </w:tr>
      <w:tr>
        <w:trPr>
          <w:trHeight w:val="436" w:hRule="atLeast"/>
        </w:trPr>
        <w:tc>
          <w:tcPr>
            <w:tcW w:w="10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right="34" w:hanging="0"/>
              <w:contextualSpacing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kern w:val="0"/>
                <w:sz w:val="24"/>
                <w:szCs w:val="24"/>
                <w:lang w:eastAsia="en-US" w:bidi="ar-SA"/>
              </w:rPr>
              <w:t xml:space="preserve">7. Art. 1.023. No caso de recurso apresentado pelo requerido contra a rejeição da impugnação, ou na hipótese de insurgência do requerente contra o acolhimento da impugnação, </w:t>
            </w:r>
            <w:r>
              <w:rPr>
                <w:rFonts w:cs="Calibri" w:cstheme="minorHAnsi"/>
                <w:b/>
                <w:bCs/>
                <w:kern w:val="0"/>
                <w:sz w:val="24"/>
                <w:szCs w:val="24"/>
                <w:lang w:eastAsia="en-US" w:bidi="ar-SA"/>
              </w:rPr>
              <w:t>os autos serão encaminhados ao juiz de registros públicos para decisão sobre a impugnação</w:t>
            </w:r>
            <w:r>
              <w:rPr>
                <w:rFonts w:cs="Calibri" w:cstheme="minorHAnsi"/>
                <w:kern w:val="0"/>
                <w:sz w:val="24"/>
                <w:szCs w:val="24"/>
                <w:lang w:eastAsia="en-US" w:bidi="ar-SA"/>
              </w:rPr>
              <w:t>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34" w:hanging="0"/>
              <w:contextualSpacing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kern w:val="0"/>
                <w:sz w:val="24"/>
                <w:szCs w:val="24"/>
                <w:lang w:eastAsia="en-US" w:bidi="ar-SA"/>
              </w:rPr>
              <w:t>§1º Acolhida a impugnação, o juiz determinará ao oficial de registro de imóveis a extinção do processo e o cancelamento da prenotação.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34" w:hanging="0"/>
              <w:contextualSpacing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kern w:val="0"/>
                <w:sz w:val="24"/>
                <w:szCs w:val="24"/>
                <w:lang w:eastAsia="en-US" w:bidi="ar-SA"/>
              </w:rPr>
              <w:t>§2º Rejeitada a impugnação, o juiz determinará a retomada do processo perante o oficial de registro de imóveis.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34" w:hanging="0"/>
              <w:contextualSpacing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kern w:val="0"/>
                <w:sz w:val="24"/>
                <w:szCs w:val="24"/>
                <w:lang w:eastAsia="en-US" w:bidi="ar-SA"/>
              </w:rPr>
              <w:t>§3º Em qualquer das hipóteses, a decisão do juízo esgotará a instância administrativa acerca da impugnação.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34" w:hanging="0"/>
              <w:contextualSpacing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>
          <w:trHeight w:val="436" w:hRule="atLeast"/>
        </w:trPr>
        <w:tc>
          <w:tcPr>
            <w:tcW w:w="10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right="34" w:hanging="0"/>
              <w:contextualSpacing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kern w:val="0"/>
                <w:sz w:val="24"/>
                <w:szCs w:val="24"/>
                <w:lang w:eastAsia="en-US" w:bidi="ar-SA"/>
              </w:rPr>
              <w:t xml:space="preserve">8. Art. 1.024. </w:t>
            </w:r>
            <w:r>
              <w:rPr>
                <w:rFonts w:cs="Calibri" w:cstheme="minorHAnsi"/>
                <w:b/>
                <w:bCs/>
                <w:kern w:val="0"/>
                <w:sz w:val="24"/>
                <w:szCs w:val="24"/>
                <w:lang w:eastAsia="en-US" w:bidi="ar-SA"/>
              </w:rPr>
              <w:t>Não havendo impugnação</w:t>
            </w:r>
            <w:r>
              <w:rPr>
                <w:rFonts w:cs="Calibri" w:cstheme="minorHAnsi"/>
                <w:kern w:val="0"/>
                <w:sz w:val="24"/>
                <w:szCs w:val="24"/>
                <w:lang w:eastAsia="en-US" w:bidi="ar-SA"/>
              </w:rPr>
              <w:t xml:space="preserve">, </w:t>
            </w:r>
            <w:r>
              <w:rPr>
                <w:rFonts w:cs="Calibri" w:cstheme="minorHAnsi"/>
                <w:b/>
                <w:bCs/>
                <w:kern w:val="0"/>
                <w:sz w:val="24"/>
                <w:szCs w:val="24"/>
                <w:lang w:eastAsia="en-US" w:bidi="ar-SA"/>
              </w:rPr>
              <w:t>afastada a que houver sido apresentada, ou anuindo o requerido ao pedido</w:t>
            </w:r>
            <w:r>
              <w:rPr>
                <w:rFonts w:cs="Calibri" w:cstheme="minorHAnsi"/>
                <w:kern w:val="0"/>
                <w:sz w:val="24"/>
                <w:szCs w:val="24"/>
                <w:lang w:eastAsia="en-US" w:bidi="ar-SA"/>
              </w:rPr>
              <w:t>, o oficial de registro de imóveis</w:t>
            </w:r>
            <w:r>
              <w:rPr>
                <w:rFonts w:cs="Calibri" w:cstheme="minorHAnsi"/>
                <w:b/>
                <w:bCs/>
                <w:kern w:val="0"/>
                <w:sz w:val="24"/>
                <w:szCs w:val="24"/>
                <w:lang w:eastAsia="en-US" w:bidi="ar-SA"/>
              </w:rPr>
              <w:t xml:space="preserve">, em </w:t>
            </w:r>
            <w:r>
              <w:rPr>
                <w:rFonts w:cs="Calibri" w:cstheme="minorHAnsi"/>
                <w:b/>
                <w:bCs/>
                <w:kern w:val="0"/>
                <w:sz w:val="24"/>
                <w:szCs w:val="24"/>
                <w:u w:val="single"/>
                <w:lang w:eastAsia="en-US" w:bidi="ar-SA"/>
              </w:rPr>
              <w:t>10</w:t>
            </w:r>
            <w:r>
              <w:rPr>
                <w:rFonts w:cs="Calibri" w:cstheme="minorHAnsi"/>
                <w:b/>
                <w:bCs/>
                <w:kern w:val="0"/>
                <w:sz w:val="24"/>
                <w:szCs w:val="24"/>
                <w:lang w:eastAsia="en-US" w:bidi="ar-SA"/>
              </w:rPr>
              <w:t xml:space="preserve"> (dez) </w:t>
            </w:r>
            <w:r>
              <w:rPr>
                <w:rFonts w:cs="Calibri" w:cstheme="minorHAnsi"/>
                <w:b/>
                <w:bCs/>
                <w:kern w:val="0"/>
                <w:sz w:val="24"/>
                <w:szCs w:val="24"/>
                <w:u w:val="single"/>
                <w:lang w:eastAsia="en-US" w:bidi="ar-SA"/>
              </w:rPr>
              <w:t>dias úteis</w:t>
            </w:r>
            <w:r>
              <w:rPr>
                <w:rFonts w:cs="Calibri" w:cstheme="minorHAnsi"/>
                <w:kern w:val="0"/>
                <w:sz w:val="24"/>
                <w:szCs w:val="24"/>
                <w:lang w:eastAsia="en-US" w:bidi="ar-SA"/>
              </w:rPr>
              <w:t>: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34" w:hanging="0"/>
              <w:contextualSpacing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kern w:val="0"/>
                <w:sz w:val="24"/>
                <w:szCs w:val="24"/>
                <w:lang w:eastAsia="en-US" w:bidi="ar-SA"/>
              </w:rPr>
              <w:t>I – expedirá nota devolutiva para que se supram as exigências que ainda existirem; ou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34" w:hanging="0"/>
              <w:contextualSpacing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kern w:val="0"/>
                <w:sz w:val="24"/>
                <w:szCs w:val="24"/>
                <w:lang w:eastAsia="en-US" w:bidi="ar-SA"/>
              </w:rPr>
              <w:t>II – deferirá ou rejeitará o pedido, em nota fundamentada.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34" w:hanging="0"/>
              <w:contextualSpacing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kern w:val="0"/>
                <w:sz w:val="24"/>
                <w:szCs w:val="24"/>
                <w:lang w:eastAsia="en-US" w:bidi="ar-SA"/>
              </w:rPr>
              <w:t>Parágrafo único. Em caso de exigência ou de rejeição do pedido, caberá suscitação de dúvida.</w:t>
            </w:r>
          </w:p>
        </w:tc>
      </w:tr>
      <w:tr>
        <w:trPr>
          <w:trHeight w:val="436" w:hRule="atLeast"/>
        </w:trPr>
        <w:tc>
          <w:tcPr>
            <w:tcW w:w="10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right="34" w:hanging="0"/>
              <w:contextualSpacing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kern w:val="0"/>
                <w:sz w:val="24"/>
                <w:szCs w:val="24"/>
                <w:lang w:eastAsia="en-US" w:bidi="ar-SA"/>
              </w:rPr>
              <w:t xml:space="preserve">9. Art. 1.025. </w:t>
            </w:r>
            <w:r>
              <w:rPr>
                <w:rFonts w:cs="Calibri" w:cstheme="minorHAnsi"/>
                <w:b/>
                <w:bCs/>
                <w:kern w:val="0"/>
                <w:sz w:val="24"/>
                <w:szCs w:val="24"/>
                <w:lang w:eastAsia="en-US" w:bidi="ar-SA"/>
              </w:rPr>
              <w:t xml:space="preserve">O </w:t>
            </w:r>
            <w:r>
              <w:rPr>
                <w:rFonts w:cs="Calibri" w:cstheme="minorHAnsi"/>
                <w:b/>
                <w:bCs/>
                <w:kern w:val="0"/>
                <w:sz w:val="24"/>
                <w:szCs w:val="24"/>
                <w:u w:val="single"/>
                <w:lang w:eastAsia="en-US" w:bidi="ar-SA"/>
              </w:rPr>
              <w:t>oficial</w:t>
            </w:r>
            <w:r>
              <w:rPr>
                <w:rFonts w:cs="Calibri" w:cstheme="minorHAnsi"/>
                <w:b/>
                <w:bCs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Calibri" w:cstheme="minorHAnsi"/>
                <w:b/>
                <w:bCs/>
                <w:kern w:val="0"/>
                <w:sz w:val="24"/>
                <w:szCs w:val="24"/>
                <w:u w:val="single"/>
                <w:lang w:eastAsia="en-US" w:bidi="ar-SA"/>
              </w:rPr>
              <w:t>rejeitará o pedido de adjudicação</w:t>
            </w:r>
            <w:r>
              <w:rPr>
                <w:rFonts w:cs="Calibri" w:cstheme="minorHAnsi"/>
                <w:kern w:val="0"/>
                <w:sz w:val="24"/>
                <w:szCs w:val="24"/>
                <w:lang w:eastAsia="en-US" w:bidi="ar-SA"/>
              </w:rPr>
              <w:t>, dentre outras hipóteses, nos seguintes casos: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34" w:hanging="0"/>
              <w:contextualSpacing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kern w:val="0"/>
                <w:sz w:val="24"/>
                <w:szCs w:val="24"/>
                <w:lang w:eastAsia="en-US" w:bidi="ar-SA"/>
              </w:rPr>
              <w:t>I – for constatado artifício ou colusão para burlar requisitos notariais e registrais ou exigências tributárias, ou para burlar o disposto no art. 108 do Código Civil;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34" w:hanging="0"/>
              <w:contextualSpacing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kern w:val="0"/>
                <w:sz w:val="24"/>
                <w:szCs w:val="24"/>
                <w:lang w:eastAsia="en-US" w:bidi="ar-SA"/>
              </w:rPr>
              <w:t>II – os instrumentos preliminares apresentados, em análise independente e autônoma, não consubstanciem o intuito das partes de transmitir o imóvel;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34" w:hanging="0"/>
              <w:contextualSpacing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kern w:val="0"/>
                <w:sz w:val="24"/>
                <w:szCs w:val="24"/>
                <w:lang w:eastAsia="en-US" w:bidi="ar-SA"/>
              </w:rPr>
              <w:t>III – for verificado, a qualquer momento, que o requerido é pessoa relativa ou absolutamente incapaz; 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34" w:hanging="0"/>
              <w:contextualSpacing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kern w:val="0"/>
                <w:sz w:val="24"/>
                <w:szCs w:val="24"/>
                <w:lang w:eastAsia="en-US" w:bidi="ar-SA"/>
              </w:rPr>
              <w:t>IV – a indisponibilidade não for cancelada até o momento da decisão final do ofícial do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34" w:hanging="0"/>
              <w:contextualSpacing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kern w:val="0"/>
                <w:sz w:val="24"/>
                <w:szCs w:val="24"/>
                <w:lang w:eastAsia="en-US" w:bidi="ar-SA"/>
              </w:rPr>
              <w:t>registro de imóveis.</w:t>
            </w:r>
          </w:p>
        </w:tc>
      </w:tr>
      <w:tr>
        <w:trPr>
          <w:trHeight w:val="436" w:hRule="atLeast"/>
        </w:trPr>
        <w:tc>
          <w:tcPr>
            <w:tcW w:w="10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right="34" w:hanging="0"/>
              <w:contextualSpacing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kern w:val="0"/>
                <w:sz w:val="24"/>
                <w:szCs w:val="24"/>
                <w:lang w:eastAsia="en-US" w:bidi="ar-SA"/>
              </w:rPr>
              <w:t xml:space="preserve">10. Art. 1.026. </w:t>
            </w:r>
            <w:r>
              <w:rPr>
                <w:rFonts w:cs="Calibri" w:cstheme="minorHAnsi"/>
                <w:b/>
                <w:bCs/>
                <w:kern w:val="0"/>
                <w:sz w:val="24"/>
                <w:szCs w:val="24"/>
                <w:u w:val="single"/>
                <w:lang w:eastAsia="en-US" w:bidi="ar-SA"/>
              </w:rPr>
              <w:t>Deferida a adjudicação</w:t>
            </w:r>
            <w:r>
              <w:rPr>
                <w:rFonts w:cs="Calibri" w:cstheme="minorHAnsi"/>
                <w:kern w:val="0"/>
                <w:sz w:val="24"/>
                <w:szCs w:val="24"/>
                <w:lang w:eastAsia="en-US" w:bidi="ar-SA"/>
              </w:rPr>
              <w:t xml:space="preserve">, </w:t>
            </w:r>
            <w:r>
              <w:rPr>
                <w:rFonts w:cs="Calibri" w:cstheme="minorHAnsi"/>
                <w:b/>
                <w:bCs/>
                <w:kern w:val="0"/>
                <w:sz w:val="24"/>
                <w:szCs w:val="24"/>
                <w:lang w:eastAsia="en-US" w:bidi="ar-SA"/>
              </w:rPr>
              <w:t>satisfeitos os tributos</w:t>
            </w:r>
            <w:r>
              <w:rPr>
                <w:rFonts w:cs="Calibri" w:cstheme="minorHAnsi"/>
                <w:kern w:val="0"/>
                <w:sz w:val="24"/>
                <w:szCs w:val="24"/>
                <w:lang w:eastAsia="en-US" w:bidi="ar-SA"/>
              </w:rPr>
              <w:t xml:space="preserve">, e não havendo exigências complementares para o registro, </w:t>
            </w:r>
            <w:r>
              <w:rPr>
                <w:rFonts w:cs="Calibri" w:cstheme="minorHAnsi"/>
                <w:b/>
                <w:bCs/>
                <w:kern w:val="0"/>
                <w:sz w:val="24"/>
                <w:szCs w:val="24"/>
                <w:lang w:eastAsia="en-US" w:bidi="ar-SA"/>
              </w:rPr>
              <w:t>o oficial procederá, em até 5 (cinco) dias úteis, ao registro da transferência</w:t>
            </w:r>
            <w:r>
              <w:rPr>
                <w:rFonts w:cs="Calibri" w:cstheme="minorHAnsi"/>
                <w:kern w:val="0"/>
                <w:sz w:val="24"/>
                <w:szCs w:val="24"/>
                <w:lang w:eastAsia="en-US" w:bidi="ar-SA"/>
              </w:rPr>
              <w:t xml:space="preserve"> do domínio em nome do promitente comprador, promitente permutante ou seus cessionários ou sucessores.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34" w:hanging="0"/>
              <w:contextualSpacing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kern w:val="0"/>
                <w:sz w:val="24"/>
                <w:szCs w:val="24"/>
                <w:lang w:eastAsia="en-US" w:bidi="ar-SA"/>
              </w:rPr>
              <w:t>§ 1º É facultado ao requerente solicitar o registro dos instrumentos preliminares de forma a publicizar a cadeia contratual.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34" w:hanging="0"/>
              <w:contextualSpacing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kern w:val="0"/>
                <w:sz w:val="24"/>
                <w:szCs w:val="24"/>
                <w:lang w:eastAsia="en-US" w:bidi="ar-SA"/>
              </w:rPr>
              <w:t>§ 2º O deferimento da adjudicação independe da comprovação da regularidade fiscal do promitente vendedor, cessionários ou sucessores.</w:t>
            </w:r>
          </w:p>
        </w:tc>
      </w:tr>
      <w:tr>
        <w:trPr>
          <w:trHeight w:val="436" w:hRule="atLeast"/>
        </w:trPr>
        <w:tc>
          <w:tcPr>
            <w:tcW w:w="10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right="34" w:hanging="0"/>
              <w:contextualSpacing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kern w:val="0"/>
                <w:sz w:val="24"/>
                <w:szCs w:val="24"/>
                <w:lang w:eastAsia="en-US" w:bidi="ar-SA"/>
              </w:rPr>
              <w:t xml:space="preserve">11. </w:t>
            </w:r>
            <w:r>
              <w:rPr>
                <w:rFonts w:cs="Calibri" w:cstheme="minorHAnsi"/>
                <w:b/>
                <w:bCs/>
                <w:kern w:val="0"/>
                <w:sz w:val="24"/>
                <w:szCs w:val="24"/>
                <w:lang w:eastAsia="en-US" w:bidi="ar-SA"/>
              </w:rPr>
              <w:t xml:space="preserve">Caso seja necessário averbar a atualização da especialidade objetiva </w:t>
            </w:r>
            <w:r>
              <w:rPr>
                <w:rFonts w:cs="Calibri" w:cstheme="minorHAnsi"/>
                <w:kern w:val="0"/>
                <w:sz w:val="24"/>
                <w:szCs w:val="24"/>
                <w:lang w:eastAsia="en-US" w:bidi="ar-SA"/>
              </w:rPr>
              <w:t>(localização do terreno ou o número</w:t>
            </w:r>
            <w:r>
              <w:rPr>
                <w:rFonts w:cs="Calibri" w:cstheme="minorHAnsi"/>
                <w:b/>
                <w:bCs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4"/>
                <w:szCs w:val="24"/>
                <w:lang w:eastAsia="en-US" w:bidi="ar-SA"/>
              </w:rPr>
              <w:t xml:space="preserve">da inscrição imobiliária), em atenção ao artigo 701 do CNCGJ/SC, na </w:t>
            </w:r>
            <w:r>
              <w:rPr>
                <w:rFonts w:cs="Calibri" w:cstheme="minorHAnsi"/>
                <w:b/>
                <w:bCs/>
                <w:kern w:val="0"/>
                <w:sz w:val="24"/>
                <w:szCs w:val="24"/>
                <w:lang w:eastAsia="en-US" w:bidi="ar-SA"/>
              </w:rPr>
              <w:t>matrícula de imóvel urbano</w:t>
            </w:r>
            <w:r>
              <w:rPr>
                <w:rFonts w:cs="Calibri" w:cstheme="minorHAnsi"/>
                <w:kern w:val="0"/>
                <w:sz w:val="24"/>
                <w:szCs w:val="24"/>
                <w:lang w:eastAsia="en-US" w:bidi="ar-SA"/>
              </w:rPr>
              <w:t xml:space="preserve">, apresentar: </w:t>
            </w:r>
            <w:r>
              <w:rPr>
                <w:rFonts w:cs="Calibri" w:cstheme="minorHAnsi"/>
                <w:b/>
                <w:bCs/>
                <w:kern w:val="0"/>
                <w:sz w:val="24"/>
                <w:szCs w:val="24"/>
                <w:lang w:eastAsia="en-US" w:bidi="ar-SA"/>
              </w:rPr>
              <w:t>mapa/memorial descritivo</w:t>
            </w:r>
            <w:r>
              <w:rPr>
                <w:rFonts w:cs="Calibri" w:cstheme="minorHAnsi"/>
                <w:kern w:val="0"/>
                <w:sz w:val="24"/>
                <w:szCs w:val="24"/>
                <w:lang w:eastAsia="en-US" w:bidi="ar-SA"/>
              </w:rPr>
              <w:t xml:space="preserve"> expedido pela Secretaria Municipal de Planejamento e Obras.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34" w:hanging="0"/>
              <w:contextualSpacing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34" w:hanging="0"/>
              <w:contextualSpacing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kern w:val="0"/>
                <w:sz w:val="24"/>
                <w:szCs w:val="24"/>
                <w:u w:val="single"/>
                <w:lang w:eastAsia="en-US" w:bidi="ar-SA"/>
              </w:rPr>
              <w:t>Observação n. 1</w:t>
            </w:r>
            <w:r>
              <w:rPr>
                <w:rFonts w:cs="Calibri" w:cstheme="minorHAnsi"/>
                <w:kern w:val="0"/>
                <w:sz w:val="24"/>
                <w:szCs w:val="24"/>
                <w:lang w:eastAsia="en-US" w:bidi="ar-SA"/>
              </w:rPr>
              <w:t xml:space="preserve">: Para solicitar o mapa de localização deve ser apresentada a certidão de inteiro teor da matrícula que pode ser solicitada diretamente no Balcão deste Cartório ou via central eletrônica no </w:t>
            </w:r>
            <w:hyperlink r:id="rId2">
              <w:r>
                <w:rPr>
                  <w:rStyle w:val="LinkdaInternet"/>
                  <w:rFonts w:cs="Calibri" w:cstheme="minorHAnsi"/>
                  <w:color w:val="auto"/>
                  <w:kern w:val="0"/>
                  <w:sz w:val="24"/>
                  <w:szCs w:val="24"/>
                  <w:lang w:eastAsia="en-US" w:bidi="ar-SA"/>
                </w:rPr>
                <w:t>https://registradores.onr.org.br/</w:t>
              </w:r>
            </w:hyperlink>
            <w:r>
              <w:rPr>
                <w:rFonts w:cs="Calibri" w:cstheme="minorHAnsi"/>
                <w:kern w:val="0"/>
                <w:sz w:val="24"/>
                <w:szCs w:val="24"/>
                <w:lang w:eastAsia="en-US" w:bidi="ar-SA"/>
              </w:rPr>
              <w:t>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34" w:hanging="0"/>
              <w:contextualSpacing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34" w:hanging="0"/>
              <w:contextualSpacing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kern w:val="0"/>
                <w:sz w:val="24"/>
                <w:szCs w:val="24"/>
                <w:u w:val="single"/>
                <w:lang w:eastAsia="en-US" w:bidi="ar-SA"/>
              </w:rPr>
              <w:t>Observação n. 2</w:t>
            </w:r>
            <w:r>
              <w:rPr>
                <w:rFonts w:cs="Calibri" w:cstheme="minorHAnsi"/>
                <w:kern w:val="0"/>
                <w:sz w:val="24"/>
                <w:szCs w:val="24"/>
                <w:lang w:eastAsia="en-US" w:bidi="ar-SA"/>
              </w:rPr>
              <w:t>: Caso necessite de inserção de medidas e confrontaç</w:t>
            </w:r>
            <w:r>
              <w:rPr>
                <w:rFonts w:eastAsia="Calibri" w:cs="Calibri" w:cstheme="minorHAnsi"/>
                <w:color w:val="auto"/>
                <w:kern w:val="0"/>
                <w:sz w:val="24"/>
                <w:szCs w:val="24"/>
                <w:lang w:val="pt-PT" w:eastAsia="en-US" w:bidi="ar-SA"/>
              </w:rPr>
              <w:t>õ</w:t>
            </w:r>
            <w:r>
              <w:rPr>
                <w:rFonts w:cs="Calibri" w:cstheme="minorHAnsi"/>
                <w:kern w:val="0"/>
                <w:sz w:val="24"/>
                <w:szCs w:val="24"/>
                <w:lang w:eastAsia="en-US" w:bidi="ar-SA"/>
              </w:rPr>
              <w:t>es em atenção ao artigo 176 e 225 da Lei 6.015/1973, deve ser obse</w:t>
            </w:r>
            <w:r>
              <w:rPr>
                <w:rFonts w:cs="Calibri" w:cstheme="minorHAnsi"/>
                <w:kern w:val="0"/>
                <w:sz w:val="24"/>
                <w:szCs w:val="24"/>
                <w:lang w:eastAsia="en-US" w:bidi="ar-SA"/>
              </w:rPr>
              <w:t>r</w:t>
            </w:r>
            <w:r>
              <w:rPr>
                <w:rFonts w:cs="Calibri" w:cstheme="minorHAnsi"/>
                <w:kern w:val="0"/>
                <w:sz w:val="24"/>
                <w:szCs w:val="24"/>
                <w:lang w:eastAsia="en-US" w:bidi="ar-SA"/>
              </w:rPr>
              <w:t>vados os requ</w:t>
            </w:r>
            <w:r>
              <w:rPr>
                <w:rFonts w:cs="Calibri" w:cstheme="minorHAnsi"/>
                <w:kern w:val="0"/>
                <w:sz w:val="24"/>
                <w:szCs w:val="24"/>
                <w:lang w:eastAsia="en-US" w:bidi="ar-SA"/>
              </w:rPr>
              <w:t>i</w:t>
            </w:r>
            <w:r>
              <w:rPr>
                <w:rFonts w:cs="Calibri" w:cstheme="minorHAnsi"/>
                <w:kern w:val="0"/>
                <w:sz w:val="24"/>
                <w:szCs w:val="24"/>
                <w:lang w:eastAsia="en-US" w:bidi="ar-SA"/>
              </w:rPr>
              <w:t>sitos do checklist de Retificação Extrajudicial.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34" w:hanging="0"/>
              <w:contextualSpacing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>
          <w:trHeight w:val="436" w:hRule="atLeast"/>
        </w:trPr>
        <w:tc>
          <w:tcPr>
            <w:tcW w:w="10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right="34" w:hanging="0"/>
              <w:contextualSpacing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kern w:val="0"/>
                <w:sz w:val="24"/>
                <w:szCs w:val="24"/>
                <w:lang w:eastAsia="en-US" w:bidi="ar-SA"/>
              </w:rPr>
              <w:t xml:space="preserve">12. </w:t>
            </w:r>
            <w:r>
              <w:rPr>
                <w:rFonts w:cs="Calibri" w:cstheme="minorHAnsi"/>
                <w:b/>
                <w:bCs/>
                <w:kern w:val="0"/>
                <w:sz w:val="24"/>
                <w:szCs w:val="24"/>
                <w:lang w:eastAsia="en-US" w:bidi="ar-SA"/>
              </w:rPr>
              <w:t>Caso seja necessário averbar a atualização da especialidade objetiva</w:t>
            </w:r>
            <w:r>
              <w:rPr>
                <w:rFonts w:cs="Calibri" w:cstheme="minorHAnsi"/>
                <w:kern w:val="0"/>
                <w:sz w:val="24"/>
                <w:szCs w:val="24"/>
                <w:lang w:eastAsia="en-US" w:bidi="ar-SA"/>
              </w:rPr>
              <w:t xml:space="preserve"> (localização, CCIR, ITR, CAR), em atenção ao artigo 701 do CNCGJ/SC, na </w:t>
            </w:r>
            <w:r>
              <w:rPr>
                <w:rFonts w:cs="Calibri" w:cstheme="minorHAnsi"/>
                <w:b/>
                <w:bCs/>
                <w:kern w:val="0"/>
                <w:sz w:val="24"/>
                <w:szCs w:val="24"/>
                <w:lang w:eastAsia="en-US" w:bidi="ar-SA"/>
              </w:rPr>
              <w:t>matrícula de imóvel rural</w:t>
            </w:r>
            <w:r>
              <w:rPr>
                <w:rFonts w:cs="Calibri" w:cstheme="minorHAnsi"/>
                <w:kern w:val="0"/>
                <w:sz w:val="24"/>
                <w:szCs w:val="24"/>
                <w:lang w:eastAsia="en-US" w:bidi="ar-SA"/>
              </w:rPr>
              <w:t xml:space="preserve">, apresentar: </w:t>
            </w:r>
            <w:r>
              <w:rPr>
                <w:rFonts w:cs="Calibri" w:cstheme="minorHAnsi"/>
                <w:b/>
                <w:bCs/>
                <w:kern w:val="0"/>
                <w:sz w:val="24"/>
                <w:szCs w:val="24"/>
                <w:lang w:eastAsia="en-US" w:bidi="ar-SA"/>
              </w:rPr>
              <w:t>CCIR</w:t>
            </w:r>
            <w:r>
              <w:rPr>
                <w:rFonts w:cs="Calibri" w:cstheme="minorHAnsi"/>
                <w:kern w:val="0"/>
                <w:sz w:val="24"/>
                <w:szCs w:val="24"/>
                <w:lang w:eastAsia="en-US" w:bidi="ar-SA"/>
              </w:rPr>
              <w:t xml:space="preserve"> – </w:t>
            </w:r>
            <w:r>
              <w:rPr>
                <w:rFonts w:cs="Calibri" w:cstheme="minorHAnsi"/>
                <w:b/>
                <w:bCs/>
                <w:kern w:val="0"/>
                <w:sz w:val="24"/>
                <w:szCs w:val="24"/>
                <w:lang w:eastAsia="en-US" w:bidi="ar-SA"/>
              </w:rPr>
              <w:t>INCRA</w:t>
            </w:r>
            <w:r>
              <w:rPr>
                <w:rFonts w:cs="Calibri" w:cstheme="minorHAnsi"/>
                <w:kern w:val="0"/>
                <w:sz w:val="24"/>
                <w:szCs w:val="24"/>
                <w:lang w:eastAsia="en-US" w:bidi="ar-SA"/>
              </w:rPr>
              <w:t xml:space="preserve">; Prova de quitação do </w:t>
            </w:r>
            <w:r>
              <w:rPr>
                <w:rFonts w:cs="Calibri" w:cstheme="minorHAnsi"/>
                <w:b/>
                <w:bCs/>
                <w:kern w:val="0"/>
                <w:sz w:val="24"/>
                <w:szCs w:val="24"/>
                <w:lang w:eastAsia="en-US" w:bidi="ar-SA"/>
              </w:rPr>
              <w:t>ITR</w:t>
            </w:r>
            <w:r>
              <w:rPr>
                <w:rFonts w:cs="Calibri" w:cstheme="minorHAnsi"/>
                <w:kern w:val="0"/>
                <w:sz w:val="24"/>
                <w:szCs w:val="24"/>
                <w:lang w:eastAsia="en-US" w:bidi="ar-SA"/>
              </w:rPr>
              <w:t xml:space="preserve"> dos últimos 5 (cinco) exercícios financeiros – CND relativa ao ITR, e, Recibo de inscrição no </w:t>
            </w:r>
            <w:r>
              <w:rPr>
                <w:rFonts w:cs="Calibri" w:cstheme="minorHAnsi"/>
                <w:b/>
                <w:bCs/>
                <w:kern w:val="0"/>
                <w:sz w:val="24"/>
                <w:szCs w:val="24"/>
                <w:lang w:eastAsia="en-US" w:bidi="ar-SA"/>
              </w:rPr>
              <w:t>CAR</w:t>
            </w:r>
            <w:r>
              <w:rPr>
                <w:rFonts w:cs="Calibri" w:cstheme="minorHAnsi"/>
                <w:kern w:val="0"/>
                <w:sz w:val="24"/>
                <w:szCs w:val="24"/>
                <w:lang w:eastAsia="en-US" w:bidi="ar-SA"/>
              </w:rPr>
              <w:t xml:space="preserve"> – Cadastro Ambiental Rural.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34" w:hanging="0"/>
              <w:contextualSpacing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kern w:val="0"/>
                <w:sz w:val="24"/>
                <w:szCs w:val="24"/>
                <w:u w:val="single"/>
                <w:lang w:eastAsia="en-US" w:bidi="ar-SA"/>
              </w:rPr>
              <w:t>Observação</w:t>
            </w:r>
            <w:r>
              <w:rPr>
                <w:rFonts w:cs="Calibri" w:cstheme="minorHAnsi"/>
                <w:kern w:val="0"/>
                <w:sz w:val="24"/>
                <w:szCs w:val="24"/>
                <w:lang w:eastAsia="en-US" w:bidi="ar-SA"/>
              </w:rPr>
              <w:t>: Caso necessite de inserção de medidas e confrontaç</w:t>
            </w:r>
            <w:r>
              <w:rPr>
                <w:rFonts w:eastAsia="Calibri" w:cs="Calibri" w:cstheme="minorHAnsi"/>
                <w:color w:val="auto"/>
                <w:kern w:val="0"/>
                <w:sz w:val="24"/>
                <w:szCs w:val="24"/>
                <w:lang w:val="pt-PT" w:eastAsia="en-US" w:bidi="ar-SA"/>
              </w:rPr>
              <w:t>õe</w:t>
            </w:r>
            <w:r>
              <w:rPr>
                <w:rFonts w:cs="Calibri" w:cstheme="minorHAnsi"/>
                <w:kern w:val="0"/>
                <w:sz w:val="24"/>
                <w:szCs w:val="24"/>
                <w:lang w:eastAsia="en-US" w:bidi="ar-SA"/>
              </w:rPr>
              <w:t>s em atenção ao artigo 176 e 225 da Lei 6.015/1973, deve ser obse</w:t>
            </w:r>
            <w:r>
              <w:rPr>
                <w:rFonts w:cs="Calibri" w:cstheme="minorHAnsi"/>
                <w:kern w:val="0"/>
                <w:sz w:val="24"/>
                <w:szCs w:val="24"/>
                <w:lang w:eastAsia="en-US" w:bidi="ar-SA"/>
              </w:rPr>
              <w:t>r</w:t>
            </w:r>
            <w:r>
              <w:rPr>
                <w:rFonts w:cs="Calibri" w:cstheme="minorHAnsi"/>
                <w:kern w:val="0"/>
                <w:sz w:val="24"/>
                <w:szCs w:val="24"/>
                <w:lang w:eastAsia="en-US" w:bidi="ar-SA"/>
              </w:rPr>
              <w:t>vados os requ</w:t>
            </w:r>
            <w:r>
              <w:rPr>
                <w:rFonts w:cs="Calibri" w:cstheme="minorHAnsi"/>
                <w:kern w:val="0"/>
                <w:sz w:val="24"/>
                <w:szCs w:val="24"/>
                <w:lang w:eastAsia="en-US" w:bidi="ar-SA"/>
              </w:rPr>
              <w:t>i</w:t>
            </w:r>
            <w:r>
              <w:rPr>
                <w:rFonts w:cs="Calibri" w:cstheme="minorHAnsi"/>
                <w:kern w:val="0"/>
                <w:sz w:val="24"/>
                <w:szCs w:val="24"/>
                <w:lang w:eastAsia="en-US" w:bidi="ar-SA"/>
              </w:rPr>
              <w:t>sitos do checklist de Retificação Extrajudicial.</w:t>
            </w:r>
          </w:p>
        </w:tc>
      </w:tr>
      <w:tr>
        <w:trPr>
          <w:trHeight w:val="436" w:hRule="atLeast"/>
        </w:trPr>
        <w:tc>
          <w:tcPr>
            <w:tcW w:w="10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right="34" w:hanging="0"/>
              <w:contextualSpacing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4.</w:t>
            </w:r>
            <w:r>
              <w:rPr>
                <w:rFonts w:cs="Calibri" w:cstheme="minorHAnsi"/>
                <w:b/>
                <w:bCs/>
                <w:kern w:val="0"/>
                <w:sz w:val="22"/>
                <w:szCs w:val="22"/>
                <w:lang w:eastAsia="en-US" w:bidi="ar-SA"/>
              </w:rPr>
              <w:t xml:space="preserve"> Caso seja necessário a averbação da especialidade subjetiva, apresentar a cópia dos documentos de identificação pessoal pertinente, em atenção ao artigo 706 e 713 do CNCGJ/SC.</w:t>
            </w:r>
          </w:p>
        </w:tc>
      </w:tr>
    </w:tbl>
    <w:tbl>
      <w:tblPr>
        <w:tblStyle w:val="TableNormal"/>
        <w:tblpPr w:bottomFromText="0" w:horzAnchor="margin" w:leftFromText="141" w:rightFromText="141" w:tblpX="137" w:tblpY="59" w:topFromText="0" w:vertAnchor="text"/>
        <w:tblW w:w="10068" w:type="dxa"/>
        <w:jc w:val="left"/>
        <w:tblInd w:w="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10068"/>
      </w:tblGrid>
      <w:tr>
        <w:trPr>
          <w:trHeight w:val="443" w:hRule="atLeast"/>
        </w:trPr>
        <w:tc>
          <w:tcPr>
            <w:tcW w:w="10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1F3" w:val="clear"/>
          </w:tcPr>
          <w:p>
            <w:pPr>
              <w:pStyle w:val="TableParagraph"/>
              <w:widowControl w:val="false"/>
              <w:suppressAutoHyphens w:val="true"/>
              <w:spacing w:lineRule="exact" w:line="282" w:before="0" w:after="0"/>
              <w:ind w:left="1238" w:right="1229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pacing w:val="-1"/>
                <w:kern w:val="0"/>
                <w:sz w:val="22"/>
                <w:szCs w:val="22"/>
                <w:lang w:eastAsia="en-US" w:bidi="ar-SA"/>
              </w:rPr>
              <w:t>EMOLUMENTOS</w:t>
            </w:r>
            <w:r>
              <w:rPr>
                <w:b/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DEVIDOS</w:t>
            </w:r>
            <w:r>
              <w:rPr>
                <w:b/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PARA RECON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HE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CIMENTO E REGISTRO DA ADJUDICAÇÃO COMPULSÓRIA EXTRAJUDICIAL</w:t>
            </w:r>
          </w:p>
        </w:tc>
      </w:tr>
      <w:tr>
        <w:trPr>
          <w:trHeight w:val="852" w:hRule="atLeast"/>
        </w:trPr>
        <w:tc>
          <w:tcPr>
            <w:tcW w:w="10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08" w:right="91" w:hanging="0"/>
              <w:contextualSpacing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De acordo com o art. 85 da Lei Complementar n. 755/2019 do Estado de Santa Catarina:</w:t>
            </w:r>
          </w:p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08" w:right="91" w:hanging="0"/>
              <w:contextualSpacing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* Para </w:t>
            </w:r>
            <w:r>
              <w:rPr>
                <w:b/>
                <w:bCs/>
                <w:kern w:val="0"/>
                <w:sz w:val="22"/>
                <w:szCs w:val="22"/>
                <w:u w:val="single"/>
                <w:lang w:eastAsia="en-US" w:bidi="ar-SA"/>
              </w:rPr>
              <w:t>o processo administrativo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 adjudicação compulsória realizado na via extrajudicial serão devidos emolumentos correspondentes </w:t>
            </w:r>
            <w:r>
              <w:rPr>
                <w:kern w:val="0"/>
                <w:sz w:val="22"/>
                <w:szCs w:val="22"/>
                <w:u w:val="single"/>
                <w:lang w:eastAsia="en-US" w:bidi="ar-SA"/>
              </w:rPr>
              <w:t>à metade dos valores previstos a título de emolumentos no item 2.2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 da Tabela III - Atos do Oficial de Registro de Imóveis.</w:t>
            </w:r>
          </w:p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08" w:right="91" w:hanging="0"/>
              <w:contextualSpacing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* Para o</w:t>
            </w:r>
            <w:r>
              <w:rPr>
                <w:b/>
                <w:bCs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bCs/>
                <w:kern w:val="0"/>
                <w:sz w:val="22"/>
                <w:szCs w:val="22"/>
                <w:u w:val="single"/>
                <w:lang w:eastAsia="en-US" w:bidi="ar-SA"/>
              </w:rPr>
              <w:t>registro</w:t>
            </w:r>
            <w:r>
              <w:rPr>
                <w:kern w:val="0"/>
                <w:sz w:val="22"/>
                <w:szCs w:val="22"/>
                <w:lang w:eastAsia="en-US" w:bidi="ar-SA"/>
              </w:rPr>
              <w:t>, após todas formalidades cumpridas e estando apto, a cobrança se dá com base no item 2.2, e para atos de avrerbação de especialidade objetiva ou subjetiva de acordo com o item 2.1, ambos da Tabela III - Atos do Oficial de Registro de Imóveis.</w:t>
            </w:r>
          </w:p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08" w:right="91" w:hanging="0"/>
              <w:contextualSpacing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b/>
                <w:bCs/>
                <w:kern w:val="0"/>
                <w:sz w:val="22"/>
                <w:szCs w:val="22"/>
                <w:u w:val="single"/>
                <w:lang w:eastAsia="en-US" w:bidi="ar-SA"/>
              </w:rPr>
              <w:t>Observação</w:t>
            </w:r>
            <w:r>
              <w:rPr>
                <w:kern w:val="0"/>
                <w:sz w:val="22"/>
                <w:szCs w:val="22"/>
                <w:lang w:eastAsia="en-US" w:bidi="ar-SA"/>
              </w:rPr>
              <w:t>: o custo de notificações e editais ficarão à expensas do requerente.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740" w:right="860" w:header="720" w:top="2780" w:footer="680" w:bottom="737" w:gutter="0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DejaVuSans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rFonts w:ascii="Calibri" w:hAnsi="Calibri"/>
        <w:sz w:val="18"/>
        <w:szCs w:val="18"/>
      </w:rPr>
    </w:pPr>
    <w:r>
      <w:rPr>
        <w:sz w:val="18"/>
        <w:szCs w:val="18"/>
        <w:lang w:val="pt-BR"/>
      </w:rPr>
      <w:t>Rua Amazonas, n. 221, Sala 01, Centro, Coronel Freitas]/SC – CEP 89.840-000</w:t>
    </w:r>
  </w:p>
  <w:p>
    <w:pPr>
      <w:pStyle w:val="Rodap"/>
      <w:jc w:val="center"/>
      <w:rPr>
        <w:sz w:val="18"/>
        <w:szCs w:val="18"/>
        <w:lang w:val="pt-BR"/>
      </w:rPr>
    </w:pPr>
    <w:bookmarkStart w:id="0" w:name="_GoBack"/>
    <w:r>
      <w:rPr>
        <w:rStyle w:val="Fontstyle01"/>
        <w:rFonts w:cs="Arial"/>
        <w:sz w:val="18"/>
        <w:szCs w:val="18"/>
        <w:lang w:val="pt-BR"/>
      </w:rPr>
      <w:t>Fone / Whatsapp (49) 3347-1355 E-mail: ricoronelfreitas@gmail.com</w:t>
    </w:r>
    <w:bookmarkEnd w:id="0"/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9"/>
      <w:jc w:val="left"/>
      <w:rPr>
        <w:b w:val="false"/>
        <w:b w:val="false"/>
      </w:rPr>
    </w:pPr>
    <w:r>
      <w:rPr>
        <w:b w:val="false"/>
      </w:rPr>
      <mc:AlternateContent>
        <mc:Choice Requires="wps">
          <w:drawing>
            <wp:anchor behindDoc="1" distT="0" distB="0" distL="0" distR="0" simplePos="0" locked="0" layoutInCell="0" allowOverlap="1" relativeHeight="7" wp14:anchorId="192250DF">
              <wp:simplePos x="0" y="0"/>
              <wp:positionH relativeFrom="page">
                <wp:posOffset>1171575</wp:posOffset>
              </wp:positionH>
              <wp:positionV relativeFrom="page">
                <wp:posOffset>1038225</wp:posOffset>
              </wp:positionV>
              <wp:extent cx="5229225" cy="629920"/>
              <wp:effectExtent l="0" t="0" r="10795" b="0"/>
              <wp:wrapNone/>
              <wp:docPr id="1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28640" cy="629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abealho"/>
                            <w:jc w:val="center"/>
                            <w:rPr>
                              <w:b/>
                              <w:b/>
                            </w:rPr>
                          </w:pPr>
                          <w:r>
                            <w:rPr>
                              <w:b/>
                              <w:color w:val="000000"/>
                            </w:rPr>
                            <w:t>ESTADO DE SANTA CATARINA</w:t>
                          </w:r>
                        </w:p>
                        <w:p>
                          <w:pPr>
                            <w:pStyle w:val="Corpodotexto"/>
                            <w:spacing w:before="1" w:after="0"/>
                            <w:ind w:left="20" w:right="18" w:hanging="0"/>
                            <w:rPr>
                              <w:rFonts w:ascii="Calibri" w:hAnsi="Calibri" w:eastAsia="Calibri" w:cs="Calibri"/>
                              <w:bCs w:val="false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Calibri" w:cs="Calibri" w:ascii="Calibri" w:hAnsi="Calibri"/>
                              <w:bCs w:val="false"/>
                              <w:color w:val="000000"/>
                              <w:sz w:val="22"/>
                              <w:szCs w:val="22"/>
                            </w:rPr>
                            <w:t>OFÍCIO DE REGISTRO DE IMÓVEIS DA COMARCA DE CORONEL FREITAS/SC</w:t>
                          </w:r>
                        </w:p>
                        <w:p>
                          <w:pPr>
                            <w:pStyle w:val="Corpodotexto"/>
                            <w:spacing w:before="1" w:after="0"/>
                            <w:ind w:left="20" w:right="18" w:hanging="0"/>
                            <w:rPr>
                              <w:color w:val="000000"/>
                            </w:rPr>
                          </w:pPr>
                          <w:r>
                            <w:rPr>
                              <w:rFonts w:eastAsia="Calibri" w:cs="Calibri" w:ascii="Calibri" w:hAnsi="Calibri"/>
                              <w:bCs w:val="false"/>
                              <w:color w:val="000000"/>
                              <w:sz w:val="22"/>
                              <w:szCs w:val="22"/>
                            </w:rPr>
                            <w:t>Katherine Scherer Clarinda - Oficiala Registradora</w:t>
                          </w:r>
                        </w:p>
                      </w:txbxContent>
                    </wps:txbx>
                    <wps:bodyPr lIns="0" rIns="0" tIns="0" bIns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path="m0,0l-2147483645,0l-2147483645,-2147483646l0,-2147483646xe" stroked="f" style="position:absolute;margin-left:92.25pt;margin-top:81.75pt;width:411.65pt;height:49.5pt;mso-wrap-style:square;v-text-anchor:top;mso-position-horizontal-relative:page;mso-position-vertical-relative:page" wp14:anchorId="192250DF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abealho"/>
                      <w:jc w:val="center"/>
                      <w:rPr>
                        <w:b/>
                        <w:b/>
                      </w:rPr>
                    </w:pPr>
                    <w:r>
                      <w:rPr>
                        <w:b/>
                        <w:color w:val="000000"/>
                      </w:rPr>
                      <w:t>ESTADO DE SANTA CATARINA</w:t>
                    </w:r>
                  </w:p>
                  <w:p>
                    <w:pPr>
                      <w:pStyle w:val="Corpodotexto"/>
                      <w:spacing w:before="1" w:after="0"/>
                      <w:ind w:left="20" w:right="18" w:hanging="0"/>
                      <w:rPr>
                        <w:rFonts w:ascii="Calibri" w:hAnsi="Calibri" w:eastAsia="Calibri" w:cs="Calibri"/>
                        <w:bCs w:val="false"/>
                        <w:sz w:val="22"/>
                        <w:szCs w:val="22"/>
                      </w:rPr>
                    </w:pPr>
                    <w:r>
                      <w:rPr>
                        <w:rFonts w:eastAsia="Calibri" w:cs="Calibri" w:ascii="Calibri" w:hAnsi="Calibri"/>
                        <w:bCs w:val="false"/>
                        <w:color w:val="000000"/>
                        <w:sz w:val="22"/>
                        <w:szCs w:val="22"/>
                      </w:rPr>
                      <w:t>OFÍCIO DE REGISTRO DE IMÓVEIS DA COMARCA DE CORONEL FREITAS/SC</w:t>
                    </w:r>
                  </w:p>
                  <w:p>
                    <w:pPr>
                      <w:pStyle w:val="Corpodotexto"/>
                      <w:spacing w:before="1" w:after="0"/>
                      <w:ind w:left="20" w:right="18" w:hanging="0"/>
                      <w:rPr>
                        <w:color w:val="000000"/>
                      </w:rPr>
                    </w:pPr>
                    <w:r>
                      <w:rPr>
                        <w:rFonts w:eastAsia="Calibri" w:cs="Calibri" w:ascii="Calibri" w:hAnsi="Calibri"/>
                        <w:bCs w:val="false"/>
                        <w:color w:val="000000"/>
                        <w:sz w:val="22"/>
                        <w:szCs w:val="22"/>
                      </w:rPr>
                      <w:t>Katherine Scherer Clarinda - Oficiala Registradora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4">
          <wp:simplePos x="0" y="0"/>
          <wp:positionH relativeFrom="page">
            <wp:posOffset>3519170</wp:posOffset>
          </wp:positionH>
          <wp:positionV relativeFrom="page">
            <wp:posOffset>457200</wp:posOffset>
          </wp:positionV>
          <wp:extent cx="523875" cy="571500"/>
          <wp:effectExtent l="0" t="0" r="0" b="0"/>
          <wp:wrapNone/>
          <wp:docPr id="3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842703"/>
    <w:rPr>
      <w:rFonts w:ascii="Calibri" w:hAnsi="Calibri" w:eastAsia="Calibri" w:cs="Calibri"/>
      <w:lang w:val="pt-PT"/>
    </w:rPr>
  </w:style>
  <w:style w:type="character" w:styleId="RodapChar" w:customStyle="1">
    <w:name w:val="Rodapé Char"/>
    <w:basedOn w:val="DefaultParagraphFont"/>
    <w:link w:val="Rodap"/>
    <w:uiPriority w:val="99"/>
    <w:qFormat/>
    <w:rsid w:val="00842703"/>
    <w:rPr>
      <w:rFonts w:ascii="Calibri" w:hAnsi="Calibri" w:eastAsia="Calibri" w:cs="Calibri"/>
      <w:lang w:val="pt-PT"/>
    </w:rPr>
  </w:style>
  <w:style w:type="character" w:styleId="Fontstyle01" w:customStyle="1">
    <w:name w:val="fontstyle01"/>
    <w:basedOn w:val="DefaultParagraphFont"/>
    <w:qFormat/>
    <w:rsid w:val="00842703"/>
    <w:rPr>
      <w:rFonts w:ascii="DejaVuSans" w:hAnsi="DejaVuSans"/>
      <w:b w:val="false"/>
      <w:bCs w:val="false"/>
      <w:i w:val="false"/>
      <w:iCs w:val="false"/>
      <w:color w:val="000000"/>
      <w:sz w:val="26"/>
      <w:szCs w:val="26"/>
    </w:rPr>
  </w:style>
  <w:style w:type="character" w:styleId="Hyperlink1" w:customStyle="1">
    <w:name w:val="Hyperlink1"/>
    <w:basedOn w:val="DefaultParagraphFont"/>
    <w:uiPriority w:val="99"/>
    <w:unhideWhenUsed/>
    <w:qFormat/>
    <w:rsid w:val="00e81ee3"/>
    <w:rPr>
      <w:color w:val="0000FF" w:themeColor="hyperlink"/>
      <w:u w:val="single"/>
    </w:rPr>
  </w:style>
  <w:style w:type="character" w:styleId="LinkdaInternet">
    <w:name w:val="Link da Internet"/>
    <w:basedOn w:val="DefaultParagraphFont"/>
    <w:uiPriority w:val="99"/>
    <w:unhideWhenUsed/>
    <w:rsid w:val="00e81ee3"/>
    <w:rPr>
      <w:color w:val="0000FF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2f16f7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semiHidden/>
    <w:qFormat/>
    <w:rsid w:val="002f16f7"/>
    <w:rPr>
      <w:rFonts w:ascii="Calibri" w:hAnsi="Calibri" w:eastAsia="Calibri" w:cs="Calibri"/>
      <w:sz w:val="20"/>
      <w:szCs w:val="20"/>
      <w:lang w:val="pt-PT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sid w:val="002f16f7"/>
    <w:rPr>
      <w:rFonts w:ascii="Calibri" w:hAnsi="Calibri" w:eastAsia="Calibri" w:cs="Calibri"/>
      <w:b/>
      <w:bCs/>
      <w:sz w:val="20"/>
      <w:szCs w:val="20"/>
      <w:lang w:val="pt-PT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2f16f7"/>
    <w:rPr>
      <w:rFonts w:ascii="Segoe UI" w:hAnsi="Segoe UI" w:eastAsia="Calibri" w:cs="Segoe UI"/>
      <w:sz w:val="18"/>
      <w:szCs w:val="18"/>
      <w:lang w:val="pt-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>
      <w:jc w:val="center"/>
    </w:pPr>
    <w:rPr>
      <w:rFonts w:ascii="Arial" w:hAnsi="Arial" w:eastAsia="Arial" w:cs="Arial"/>
      <w:b/>
      <w:bCs/>
      <w:sz w:val="20"/>
      <w:szCs w:val="20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>
      <w:ind w:left="107" w:hanging="0"/>
      <w:jc w:val="both"/>
    </w:pPr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842703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842703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Default" w:customStyle="1">
    <w:name w:val="Default"/>
    <w:qFormat/>
    <w:rsid w:val="00364b4b"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en-US" w:bidi="ar-SA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2f16f7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2f16f7"/>
    <w:pPr/>
    <w:rPr>
      <w:b/>
      <w:bCs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f16f7"/>
    <w:pPr/>
    <w:rPr>
      <w:rFonts w:ascii="Segoe UI" w:hAnsi="Segoe UI" w:cs="Segoe UI"/>
      <w:sz w:val="18"/>
      <w:szCs w:val="18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registradores.onr.org.br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LibreOffice/7.1.1.2$Windows_X86_64 LibreOffice_project/fe0b08f4af1bacafe4c7ecc87ce55bb426164676</Application>
  <AppVersion>15.0000</AppVersion>
  <Pages>3</Pages>
  <Words>1407</Words>
  <Characters>7784</Characters>
  <CharactersWithSpaces>9151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2024-07-15T22:50:00Z</dcterms:created>
  <dc:creator>Cliente</dc:creator>
  <dc:description/>
  <dc:language>pt-BR</dc:language>
  <cp:lastModifiedBy/>
  <cp:lastPrinted>2023-11-30T16:45:00Z</cp:lastPrinted>
  <dcterms:modified xsi:type="dcterms:W3CDTF">2024-08-09T14:12:46Z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2023-11-30T00:00:00Z</vt:filetime>
  </property>
</Properties>
</file>