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Normal"/>
        <w:tblW w:w="9978" w:type="dxa"/>
        <w:jc w:val="left"/>
        <w:tblInd w:w="16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9978"/>
      </w:tblGrid>
      <w:tr>
        <w:trPr>
          <w:trHeight w:val="606" w:hRule="atLeast"/>
        </w:trPr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1F3" w:val="clear"/>
          </w:tcPr>
          <w:p>
            <w:pPr>
              <w:pStyle w:val="TableParagraph"/>
              <w:widowControl w:val="false"/>
              <w:suppressAutoHyphens w:val="true"/>
              <w:spacing w:lineRule="exact" w:line="282" w:before="0" w:after="0"/>
              <w:ind w:left="1238" w:right="122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CÉDULAS DE CRÉDITO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9" w:before="0" w:after="0"/>
              <w:ind w:left="1238" w:right="122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(Art.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1.149  </w:t>
            </w:r>
            <w:r>
              <w:rPr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CNCGFE/SC)</w:t>
            </w:r>
          </w:p>
        </w:tc>
      </w:tr>
      <w:tr>
        <w:trPr>
          <w:trHeight w:val="93" w:hRule="atLeast"/>
        </w:trPr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9" w:after="0"/>
              <w:ind w:left="0" w:right="102" w:hanging="0"/>
              <w:contextualSpacing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 xml:space="preserve">Art. 1.149. Não serão passíveis de registro no Livro 3 – Registro Auxiliar, as Cédulas de Crédito Bancário e de Crédito Rural, </w:t>
            </w:r>
            <w:r>
              <w:rPr>
                <w:b/>
                <w:bCs/>
                <w:kern w:val="0"/>
                <w:sz w:val="23"/>
                <w:szCs w:val="23"/>
                <w:lang w:eastAsia="en-US" w:bidi="ar-SA"/>
              </w:rPr>
              <w:t>sem prejuízo do registro das garantias</w:t>
            </w:r>
            <w:r>
              <w:rPr>
                <w:kern w:val="0"/>
                <w:sz w:val="23"/>
                <w:szCs w:val="23"/>
                <w:lang w:eastAsia="en-US" w:bidi="ar-SA"/>
              </w:rPr>
              <w:t>.</w:t>
            </w:r>
          </w:p>
          <w:p>
            <w:pPr>
              <w:pStyle w:val="TableParagraph"/>
              <w:widowControl w:val="false"/>
              <w:suppressAutoHyphens w:val="true"/>
              <w:spacing w:before="39" w:after="0"/>
              <w:ind w:left="0" w:right="102" w:hanging="0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39" w:after="0"/>
              <w:ind w:left="0" w:right="102" w:hanging="0"/>
              <w:contextualSpacing/>
              <w:rPr>
                <w:sz w:val="24"/>
              </w:rPr>
            </w:pPr>
            <w:r>
              <w:rPr>
                <w:b/>
                <w:bCs/>
                <w:kern w:val="0"/>
                <w:sz w:val="23"/>
                <w:szCs w:val="23"/>
                <w:lang w:eastAsia="en-US" w:bidi="ar-SA"/>
              </w:rPr>
              <w:t>Parágrafo único</w:t>
            </w:r>
            <w:r>
              <w:rPr>
                <w:kern w:val="0"/>
                <w:sz w:val="23"/>
                <w:szCs w:val="23"/>
                <w:lang w:eastAsia="en-US" w:bidi="ar-SA"/>
              </w:rPr>
              <w:t>. Excetua-se do regramento do caput os requerimentos para registro dessas cédulas em seu inteiro teor no Livro 3.</w:t>
            </w:r>
          </w:p>
        </w:tc>
      </w:tr>
      <w:tr>
        <w:trPr>
          <w:trHeight w:val="289" w:hRule="atLeast"/>
        </w:trPr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1F3" w:val="clear"/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238" w:right="1231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DOCUMENTOS</w:t>
            </w:r>
            <w:r>
              <w:rPr>
                <w:b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NECESSÁRIOS</w:t>
            </w:r>
          </w:p>
        </w:tc>
      </w:tr>
      <w:tr>
        <w:trPr>
          <w:trHeight w:val="6059" w:hRule="atLeast"/>
        </w:trPr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1. </w:t>
            </w:r>
            <w:r>
              <w:rPr>
                <w:rFonts w:cs="Calibri" w:cstheme="minorHAnsi"/>
                <w:b/>
                <w:kern w:val="0"/>
                <w:sz w:val="24"/>
                <w:szCs w:val="24"/>
                <w:u w:val="single"/>
                <w:lang w:eastAsia="en-US" w:bidi="ar-SA"/>
              </w:rPr>
              <w:t>REQUERIMENTO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: Formulado pelo apresentante, com qualificação completa e assinatura reconhecida, indicando os números das matrículas;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u w:val="single"/>
                <w:lang w:eastAsia="en-US" w:bidi="ar-SA"/>
              </w:rPr>
              <w:t>Observação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: </w:t>
            </w:r>
            <w:r>
              <w:rPr>
                <w:rFonts w:cs="Calibri" w:cstheme="minorHAnsi"/>
                <w:kern w:val="0"/>
                <w:sz w:val="24"/>
                <w:szCs w:val="24"/>
                <w:u w:val="single"/>
                <w:lang w:eastAsia="en-US" w:bidi="ar-SA"/>
              </w:rPr>
              <w:t>o reconhecimento de firma poderá ser dispensado se o requerente assinar na presença de colaborador desta Serventia Registral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, apresentando documento de identificação;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Na qualificação dos requerentes/proprietários, constar: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b/>
                <w:kern w:val="0"/>
                <w:sz w:val="24"/>
                <w:szCs w:val="24"/>
                <w:lang w:eastAsia="en-US" w:bidi="ar-SA"/>
              </w:rPr>
              <w:t>Se Pessoa Física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: nome completo, sem abreviaturas; nacionalidade; domicílio, contendo o logradouro, o número, bairro, cidade e Estado; data de nascimento; indicação do estado civil; sendo casado, nome e qualificação completa do cônjuge e regime de bens do casamento, bem como data em que foi celebrado ou se este o foi antes ou depois da Lei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n. 6.515/77; e  número do CPF.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eastAsia="en-US" w:bidi="ar-SA"/>
              </w:rPr>
              <w:t>Se pessoa jurídica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: nome empresarial; endereço da sede social, contendo o logradouro, o número, Cidade e Estado; e CNPJ da matriz.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b/>
                <w:kern w:val="0"/>
                <w:sz w:val="24"/>
                <w:szCs w:val="24"/>
                <w:lang w:eastAsia="en-US" w:bidi="ar-SA"/>
              </w:rPr>
              <w:t>Se representado por procurador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: se alguma das partes for representada por procurador, apresentar procuração por Certidão ou Traslado quando for procuração pública.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kern w:val="0"/>
                <w:lang w:eastAsia="en-US" w:bidi="ar-SA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Caso seja procuração particular, apresentar o intrumento original com assinatura reconhecida do mandante.</w:t>
            </w:r>
          </w:p>
        </w:tc>
      </w:tr>
      <w:tr>
        <w:trPr>
          <w:trHeight w:val="436" w:hRule="atLeast"/>
        </w:trPr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2. </w:t>
            </w:r>
            <w:r>
              <w:rPr>
                <w:rFonts w:cs="Calibri" w:ascii="Calibri" w:hAnsi="Calibri" w:cstheme="minorHAnsi"/>
                <w:b/>
                <w:kern w:val="0"/>
                <w:sz w:val="24"/>
                <w:szCs w:val="24"/>
                <w:lang w:eastAsia="en-US" w:bidi="ar-SA"/>
              </w:rPr>
              <w:t>Duas vias da cédula, devendo ser uma via não-negociável, que ficará arquivada no cartório, e outra via</w:t>
            </w:r>
            <w:r>
              <w:rPr>
                <w:rFonts w:cs="Calibri" w:ascii="Calibri" w:hAnsi="Calibri" w:cstheme="minorHAnsi"/>
                <w:b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cstheme="minorHAnsi"/>
                <w:b/>
                <w:kern w:val="0"/>
                <w:sz w:val="24"/>
                <w:szCs w:val="24"/>
                <w:lang w:eastAsia="en-US" w:bidi="ar-SA"/>
              </w:rPr>
              <w:t>negociável, que será devolvida ao interessado</w:t>
            </w:r>
            <w:r>
              <w:rPr>
                <w:rFonts w:cs="Calibri" w:ascii="Calibri" w:hAnsi="Calibri" w:cstheme="minorHAnsi"/>
                <w:kern w:val="0"/>
                <w:sz w:val="24"/>
                <w:szCs w:val="24"/>
                <w:lang w:eastAsia="en-US" w:bidi="ar-SA"/>
              </w:rPr>
              <w:t>, as quais deverão conter as rubricas dos devedores, avalistas e</w:t>
            </w:r>
            <w:r>
              <w:rPr>
                <w:rFonts w:cs="Calibri" w:ascii="Calibri" w:hAnsi="Calibri" w:cstheme="minorHAnsi"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cstheme="minorHAnsi"/>
                <w:kern w:val="0"/>
                <w:sz w:val="24"/>
                <w:szCs w:val="24"/>
                <w:lang w:eastAsia="en-US" w:bidi="ar-SA"/>
              </w:rPr>
              <w:t>intervenientes</w:t>
            </w:r>
            <w:r>
              <w:rPr>
                <w:rFonts w:cs="Calibri" w:ascii="Calibri" w:hAnsi="Calibri" w:cstheme="minorHAnsi"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cstheme="minorHAnsi"/>
                <w:kern w:val="0"/>
                <w:sz w:val="24"/>
                <w:szCs w:val="24"/>
                <w:lang w:eastAsia="en-US" w:bidi="ar-SA"/>
              </w:rPr>
              <w:t>garantidores em todas</w:t>
            </w:r>
            <w:r>
              <w:rPr>
                <w:rFonts w:cs="Calibri" w:ascii="Calibri" w:hAnsi="Calibri" w:cstheme="minorHAnsi"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cstheme="minorHAnsi"/>
                <w:kern w:val="0"/>
                <w:sz w:val="24"/>
                <w:szCs w:val="24"/>
                <w:lang w:eastAsia="en-US" w:bidi="ar-SA"/>
              </w:rPr>
              <w:t>as</w:t>
            </w:r>
            <w:r>
              <w:rPr>
                <w:rFonts w:cs="Calibri" w:ascii="Calibri" w:hAnsi="Calibri" w:cstheme="minorHAnsi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cstheme="minorHAnsi"/>
                <w:kern w:val="0"/>
                <w:sz w:val="24"/>
                <w:szCs w:val="24"/>
                <w:lang w:eastAsia="en-US" w:bidi="ar-SA"/>
              </w:rPr>
              <w:t>folhas,</w:t>
            </w:r>
            <w:r>
              <w:rPr>
                <w:rFonts w:cs="Calibri" w:ascii="Calibri" w:hAnsi="Calibri" w:cstheme="minorHAnsi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cstheme="minorHAnsi"/>
                <w:kern w:val="0"/>
                <w:sz w:val="24"/>
                <w:szCs w:val="24"/>
                <w:lang w:eastAsia="en-US" w:bidi="ar-SA"/>
              </w:rPr>
              <w:t>e pelo</w:t>
            </w:r>
            <w:r>
              <w:rPr>
                <w:rFonts w:cs="Calibri" w:ascii="Calibri" w:hAnsi="Calibri" w:cstheme="minorHAnsi"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cstheme="minorHAnsi"/>
                <w:kern w:val="0"/>
                <w:sz w:val="24"/>
                <w:szCs w:val="24"/>
                <w:lang w:eastAsia="en-US" w:bidi="ar-SA"/>
              </w:rPr>
              <w:t>credor,</w:t>
            </w:r>
            <w:r>
              <w:rPr>
                <w:rFonts w:cs="Calibri" w:ascii="Calibri" w:hAnsi="Calibri" w:cstheme="minorHAnsi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cstheme="minorHAnsi"/>
                <w:kern w:val="0"/>
                <w:sz w:val="24"/>
                <w:szCs w:val="24"/>
                <w:lang w:eastAsia="en-US" w:bidi="ar-SA"/>
              </w:rPr>
              <w:t>se</w:t>
            </w:r>
            <w:r>
              <w:rPr>
                <w:rFonts w:cs="Calibri" w:ascii="Calibri" w:hAnsi="Calibri" w:cstheme="minorHAnsi"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cstheme="minorHAnsi"/>
                <w:kern w:val="0"/>
                <w:sz w:val="24"/>
                <w:szCs w:val="24"/>
                <w:lang w:eastAsia="en-US" w:bidi="ar-SA"/>
              </w:rPr>
              <w:t>for</w:t>
            </w:r>
            <w:r>
              <w:rPr>
                <w:rFonts w:cs="Calibri" w:ascii="Calibri" w:hAnsi="Calibri" w:cstheme="minorHAnsi"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cstheme="minorHAnsi"/>
                <w:kern w:val="0"/>
                <w:sz w:val="24"/>
                <w:szCs w:val="24"/>
                <w:lang w:eastAsia="en-US" w:bidi="ar-SA"/>
              </w:rPr>
              <w:t>o</w:t>
            </w:r>
            <w:r>
              <w:rPr>
                <w:rFonts w:cs="Calibri" w:ascii="Calibri" w:hAnsi="Calibri" w:cstheme="minorHAnsi"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cstheme="minorHAnsi"/>
                <w:kern w:val="0"/>
                <w:sz w:val="24"/>
                <w:szCs w:val="24"/>
                <w:lang w:eastAsia="en-US" w:bidi="ar-SA"/>
              </w:rPr>
              <w:t>caso</w:t>
            </w:r>
            <w:r>
              <w:rPr>
                <w:rFonts w:cs="Calibri" w:ascii="Calibri" w:hAnsi="Calibri" w:cstheme="minorHAnsi"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cstheme="minorHAnsi"/>
                <w:kern w:val="0"/>
                <w:sz w:val="24"/>
                <w:szCs w:val="24"/>
                <w:lang w:eastAsia="en-US" w:bidi="ar-SA"/>
              </w:rPr>
              <w:t>(art.</w:t>
            </w:r>
            <w:r>
              <w:rPr>
                <w:rFonts w:cs="Calibri" w:ascii="Calibri" w:hAnsi="Calibri" w:cstheme="minorHAnsi"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cstheme="minorHAnsi"/>
                <w:kern w:val="0"/>
                <w:sz w:val="24"/>
                <w:szCs w:val="24"/>
                <w:lang w:eastAsia="en-US" w:bidi="ar-SA"/>
              </w:rPr>
              <w:t>29, §</w:t>
            </w:r>
            <w:r>
              <w:rPr>
                <w:rFonts w:cs="Calibri" w:ascii="Calibri" w:hAnsi="Calibri" w:cstheme="minorHAnsi"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cstheme="minorHAnsi"/>
                <w:kern w:val="0"/>
                <w:sz w:val="24"/>
                <w:szCs w:val="24"/>
                <w:lang w:eastAsia="en-US" w:bidi="ar-SA"/>
              </w:rPr>
              <w:t>3°,</w:t>
            </w:r>
            <w:r>
              <w:rPr>
                <w:rFonts w:cs="Calibri" w:ascii="Calibri" w:hAnsi="Calibri" w:cstheme="minorHAnsi"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cstheme="minorHAnsi"/>
                <w:kern w:val="0"/>
                <w:sz w:val="24"/>
                <w:szCs w:val="24"/>
                <w:lang w:eastAsia="en-US" w:bidi="ar-SA"/>
              </w:rPr>
              <w:t>da</w:t>
            </w:r>
            <w:r>
              <w:rPr>
                <w:rFonts w:cs="Calibri" w:ascii="Calibri" w:hAnsi="Calibri" w:cstheme="minorHAnsi"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cstheme="minorHAnsi"/>
                <w:kern w:val="0"/>
                <w:sz w:val="24"/>
                <w:szCs w:val="24"/>
                <w:lang w:eastAsia="en-US" w:bidi="ar-SA"/>
              </w:rPr>
              <w:t>Lei</w:t>
            </w:r>
            <w:r>
              <w:rPr>
                <w:rFonts w:cs="Calibri" w:ascii="Calibri" w:hAnsi="Calibri" w:cstheme="minorHAnsi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cstheme="minorHAnsi"/>
                <w:kern w:val="0"/>
                <w:sz w:val="24"/>
                <w:szCs w:val="24"/>
                <w:lang w:eastAsia="en-US" w:bidi="ar-SA"/>
              </w:rPr>
              <w:t>n.</w:t>
            </w:r>
            <w:r>
              <w:rPr>
                <w:rFonts w:cs="Calibri" w:ascii="Calibri" w:hAnsi="Calibri" w:cstheme="minorHAnsi"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cstheme="minorHAnsi"/>
                <w:kern w:val="0"/>
                <w:sz w:val="24"/>
                <w:szCs w:val="24"/>
                <w:lang w:eastAsia="en-US" w:bidi="ar-SA"/>
              </w:rPr>
              <w:t>10.931;</w:t>
            </w:r>
            <w:r>
              <w:rPr>
                <w:rFonts w:cs="Calibri" w:ascii="Calibri" w:hAnsi="Calibri" w:cstheme="minorHAnsi"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cstheme="minorHAnsi"/>
                <w:kern w:val="0"/>
                <w:sz w:val="24"/>
                <w:szCs w:val="24"/>
                <w:lang w:eastAsia="en-US" w:bidi="ar-SA"/>
              </w:rPr>
              <w:t>art.</w:t>
            </w:r>
            <w:r>
              <w:rPr>
                <w:rFonts w:cs="Calibri" w:ascii="Calibri" w:hAnsi="Calibri" w:cstheme="minorHAnsi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cstheme="minorHAnsi"/>
                <w:kern w:val="0"/>
                <w:sz w:val="24"/>
                <w:szCs w:val="24"/>
                <w:lang w:eastAsia="en-US" w:bidi="ar-SA"/>
              </w:rPr>
              <w:t>32, §</w:t>
            </w:r>
            <w:r>
              <w:rPr>
                <w:rFonts w:cs="Calibri" w:ascii="Calibri" w:hAnsi="Calibri" w:cstheme="minorHAnsi"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cstheme="minorHAnsi"/>
                <w:kern w:val="0"/>
                <w:sz w:val="24"/>
                <w:szCs w:val="24"/>
                <w:lang w:eastAsia="en-US" w:bidi="ar-SA"/>
              </w:rPr>
              <w:t>1°,</w:t>
            </w:r>
            <w:r>
              <w:rPr>
                <w:rFonts w:cs="Calibri" w:ascii="Calibri" w:hAnsi="Calibri" w:cstheme="minorHAnsi"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cstheme="minorHAnsi"/>
                <w:kern w:val="0"/>
                <w:sz w:val="24"/>
                <w:szCs w:val="24"/>
                <w:lang w:eastAsia="en-US" w:bidi="ar-SA"/>
              </w:rPr>
              <w:t>do</w:t>
            </w:r>
            <w:r>
              <w:rPr>
                <w:rFonts w:cs="Calibri" w:ascii="Calibri" w:hAnsi="Calibri" w:cstheme="minorHAnsi"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cstheme="minorHAnsi"/>
                <w:kern w:val="0"/>
                <w:sz w:val="24"/>
                <w:szCs w:val="24"/>
                <w:lang w:eastAsia="en-US" w:bidi="ar-SA"/>
              </w:rPr>
              <w:t>Decreto-Lei</w:t>
            </w:r>
            <w:r>
              <w:rPr>
                <w:rFonts w:cs="Calibri" w:ascii="Calibri" w:hAnsi="Calibri" w:cstheme="minorHAnsi"/>
                <w:spacing w:val="-2"/>
                <w:kern w:val="0"/>
                <w:sz w:val="24"/>
                <w:szCs w:val="24"/>
                <w:lang w:eastAsia="en-US" w:bidi="ar-SA"/>
              </w:rPr>
              <w:t xml:space="preserve"> n. </w:t>
            </w:r>
            <w:r>
              <w:rPr>
                <w:rFonts w:cs="Calibri" w:ascii="Calibri" w:hAnsi="Calibri" w:cstheme="minorHAnsi"/>
                <w:kern w:val="0"/>
                <w:sz w:val="24"/>
                <w:szCs w:val="24"/>
                <w:lang w:eastAsia="en-US" w:bidi="ar-SA"/>
              </w:rPr>
              <w:t>413/1969),</w:t>
            </w:r>
            <w:r>
              <w:rPr>
                <w:rFonts w:cs="Calibri" w:ascii="Calibri" w:hAnsi="Calibri" w:cstheme="minorHAnsi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cstheme="minorHAnsi"/>
                <w:kern w:val="0"/>
                <w:sz w:val="24"/>
                <w:szCs w:val="24"/>
                <w:lang w:eastAsia="en-US" w:bidi="ar-SA"/>
              </w:rPr>
              <w:t>devendo</w:t>
            </w:r>
            <w:r>
              <w:rPr>
                <w:rFonts w:cs="Calibri" w:ascii="Calibri" w:hAnsi="Calibri" w:cstheme="minorHAnsi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cstheme="minorHAnsi"/>
                <w:kern w:val="0"/>
                <w:sz w:val="24"/>
                <w:szCs w:val="24"/>
                <w:lang w:eastAsia="en-US" w:bidi="ar-SA"/>
              </w:rPr>
              <w:t>conter,</w:t>
            </w:r>
            <w:r>
              <w:rPr>
                <w:rFonts w:cs="Calibri" w:ascii="Calibri" w:hAnsi="Calibri" w:cstheme="minorHAnsi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cstheme="minorHAnsi"/>
                <w:kern w:val="0"/>
                <w:sz w:val="24"/>
                <w:szCs w:val="24"/>
                <w:lang w:eastAsia="en-US" w:bidi="ar-SA"/>
              </w:rPr>
              <w:t>ainda:</w:t>
            </w:r>
          </w:p>
          <w:p>
            <w:pPr>
              <w:pStyle w:val="TableParagraph"/>
              <w:widowControl w:val="false"/>
              <w:spacing w:before="99" w:after="0"/>
              <w:ind w:right="97" w:hanging="0"/>
              <w:rPr>
                <w:rFonts w:ascii="Calibri" w:hAnsi="Calibr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 w:bidi="ar-SA"/>
              </w:rPr>
              <w:t xml:space="preserve">2.1.  </w:t>
            </w:r>
            <w:r>
              <w:rPr>
                <w:rFonts w:ascii="Calibri" w:hAnsi="Calibri"/>
                <w:b/>
                <w:bCs/>
                <w:kern w:val="0"/>
                <w:sz w:val="24"/>
                <w:szCs w:val="24"/>
                <w:lang w:eastAsia="en-US" w:bidi="ar-SA"/>
              </w:rPr>
              <w:t>assinatura do emitente e, se for o caso, do terceiro garantidor da obrigação</w:t>
            </w:r>
            <w:r>
              <w:rPr>
                <w:rFonts w:ascii="Calibri" w:hAnsi="Calibri"/>
                <w:kern w:val="0"/>
                <w:sz w:val="24"/>
                <w:szCs w:val="24"/>
                <w:lang w:eastAsia="en-US" w:bidi="ar-SA"/>
              </w:rPr>
              <w:t>, ou de seus respectivos</w:t>
            </w:r>
            <w:r>
              <w:rPr>
                <w:rFonts w:ascii="Calibri" w:hAnsi="Calibri"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24"/>
                <w:szCs w:val="24"/>
                <w:lang w:eastAsia="en-US" w:bidi="ar-SA"/>
              </w:rPr>
              <w:t>mandatários (art. 29, VI, da Lei n. 10.931/2004; art. 14, X, do Decreto-Lei n. 413/1969; art. 14, IX; 20, IX; e 25, X;</w:t>
            </w:r>
            <w:r>
              <w:rPr>
                <w:rFonts w:ascii="Calibri" w:hAnsi="Calibri"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24"/>
                <w:szCs w:val="24"/>
                <w:lang w:eastAsia="en-US" w:bidi="ar-SA"/>
              </w:rPr>
              <w:t>do Decreto-Lei n.</w:t>
            </w:r>
            <w:r>
              <w:rPr>
                <w:rFonts w:ascii="Calibri" w:hAnsi="Calibri"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24"/>
                <w:szCs w:val="24"/>
                <w:lang w:eastAsia="en-US" w:bidi="ar-SA"/>
              </w:rPr>
              <w:t>167/1967;</w:t>
            </w:r>
            <w:r>
              <w:rPr>
                <w:rFonts w:ascii="Calibri" w:hAnsi="Calibri"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ascii="Calibri" w:hAnsi="Calibri"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24"/>
                <w:szCs w:val="24"/>
                <w:lang w:eastAsia="en-US" w:bidi="ar-SA"/>
              </w:rPr>
              <w:t>art.</w:t>
            </w:r>
            <w:r>
              <w:rPr>
                <w:rFonts w:ascii="Calibri" w:hAnsi="Calibri"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24"/>
                <w:szCs w:val="24"/>
                <w:lang w:eastAsia="en-US" w:bidi="ar-SA"/>
              </w:rPr>
              <w:t>3°, VIII, da</w:t>
            </w:r>
            <w:r>
              <w:rPr>
                <w:rFonts w:ascii="Calibri" w:hAnsi="Calibri"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24"/>
                <w:szCs w:val="24"/>
                <w:lang w:eastAsia="en-US" w:bidi="ar-SA"/>
              </w:rPr>
              <w:t>Lei n. 8.929/1994);</w:t>
            </w:r>
          </w:p>
          <w:p>
            <w:pPr>
              <w:pStyle w:val="TableParagraph"/>
              <w:widowControl w:val="false"/>
              <w:spacing w:before="99" w:after="0"/>
              <w:ind w:left="107" w:right="97" w:firstLine="4"/>
              <w:rPr>
                <w:rFonts w:ascii="Calibri" w:hAnsi="Calibr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kern w:val="0"/>
                <w:sz w:val="24"/>
                <w:szCs w:val="24"/>
                <w:lang w:eastAsia="en-US" w:bidi="ar-SA"/>
              </w:rPr>
              <w:t xml:space="preserve">2.2. </w:t>
            </w:r>
            <w:r>
              <w:rPr>
                <w:rFonts w:cs="Calibri" w:ascii="Calibri" w:hAnsi="Calibri" w:cstheme="minorHAnsi"/>
                <w:b/>
                <w:bCs/>
                <w:kern w:val="0"/>
                <w:sz w:val="24"/>
                <w:szCs w:val="24"/>
                <w:lang w:eastAsia="en-US" w:bidi="ar-SA"/>
              </w:rPr>
              <w:t>A qualificação</w:t>
            </w:r>
            <w:r>
              <w:rPr>
                <w:rFonts w:cs="Calibri" w:ascii="Calibri" w:hAnsi="Calibri" w:cstheme="minorHAnsi"/>
                <w:b/>
                <w:bCs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cstheme="minorHAnsi"/>
                <w:b/>
                <w:bCs/>
                <w:kern w:val="0"/>
                <w:sz w:val="24"/>
                <w:szCs w:val="24"/>
                <w:lang w:eastAsia="en-US" w:bidi="ar-SA"/>
              </w:rPr>
              <w:t>completa das partes</w:t>
            </w:r>
            <w:r>
              <w:rPr>
                <w:rFonts w:cs="Calibri" w:ascii="Calibri" w:hAnsi="Calibri" w:cstheme="minorHAnsi"/>
                <w:b/>
                <w:bCs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cstheme="minorHAnsi"/>
                <w:b/>
                <w:bCs/>
                <w:kern w:val="0"/>
                <w:sz w:val="24"/>
                <w:szCs w:val="24"/>
                <w:lang w:eastAsia="en-US" w:bidi="ar-SA"/>
              </w:rPr>
              <w:t>envolvidas (emitente/devedor, fiduciante/proprietário</w:t>
            </w:r>
            <w:r>
              <w:rPr>
                <w:rFonts w:cs="Calibri" w:ascii="Calibri" w:hAnsi="Calibri" w:cstheme="minorHAnsi"/>
                <w:b/>
                <w:bCs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cstheme="minorHAnsi"/>
                <w:b/>
                <w:bCs/>
                <w:kern w:val="0"/>
                <w:sz w:val="24"/>
                <w:szCs w:val="24"/>
                <w:lang w:eastAsia="en-US" w:bidi="ar-SA"/>
              </w:rPr>
              <w:t>do</w:t>
            </w:r>
            <w:r>
              <w:rPr>
                <w:rFonts w:cs="Calibri" w:ascii="Calibri" w:hAnsi="Calibri" w:cstheme="minorHAnsi"/>
                <w:b/>
                <w:bCs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cstheme="minorHAnsi"/>
                <w:b/>
                <w:bCs/>
                <w:kern w:val="0"/>
                <w:sz w:val="24"/>
                <w:szCs w:val="24"/>
                <w:lang w:eastAsia="en-US" w:bidi="ar-SA"/>
              </w:rPr>
              <w:t>imóvel e</w:t>
            </w:r>
            <w:r>
              <w:rPr>
                <w:rFonts w:cs="Calibri" w:ascii="Calibri" w:hAnsi="Calibri" w:cstheme="minorHAnsi"/>
                <w:b/>
                <w:bCs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cstheme="minorHAnsi"/>
                <w:b/>
                <w:bCs/>
                <w:kern w:val="0"/>
                <w:sz w:val="24"/>
                <w:szCs w:val="24"/>
                <w:lang w:eastAsia="en-US" w:bidi="ar-SA"/>
              </w:rPr>
              <w:t>credor, bem como dos seus respectivos representantes ou cônjuges, se houver</w:t>
            </w:r>
            <w:r>
              <w:rPr>
                <w:rFonts w:cs="Calibri" w:ascii="Calibri" w:hAnsi="Calibri" w:cstheme="minorHAnsi"/>
                <w:kern w:val="0"/>
                <w:sz w:val="24"/>
                <w:szCs w:val="24"/>
                <w:lang w:eastAsia="en-US" w:bidi="ar-SA"/>
              </w:rPr>
              <w:t>), que deve se dar da seguinte</w:t>
            </w:r>
            <w:r>
              <w:rPr>
                <w:rFonts w:cs="Calibri" w:ascii="Calibri" w:hAnsi="Calibri" w:cstheme="minorHAnsi"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cstheme="minorHAnsi"/>
                <w:kern w:val="0"/>
                <w:sz w:val="24"/>
                <w:szCs w:val="24"/>
                <w:lang w:eastAsia="en-US" w:bidi="ar-SA"/>
              </w:rPr>
              <w:t>forma</w:t>
            </w:r>
            <w:r>
              <w:rPr>
                <w:rFonts w:cs="Calibri" w:ascii="Calibri" w:hAnsi="Calibri" w:cstheme="minorHAnsi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cstheme="minorHAnsi"/>
                <w:kern w:val="0"/>
                <w:sz w:val="24"/>
                <w:szCs w:val="24"/>
                <w:lang w:eastAsia="en-US" w:bidi="ar-SA"/>
              </w:rPr>
              <w:t>(art.</w:t>
            </w:r>
            <w:r>
              <w:rPr>
                <w:rFonts w:cs="Calibri" w:ascii="Calibri" w:hAnsi="Calibri" w:cstheme="minorHAnsi"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cstheme="minorHAnsi"/>
                <w:kern w:val="0"/>
                <w:sz w:val="24"/>
                <w:szCs w:val="24"/>
                <w:lang w:eastAsia="en-US" w:bidi="ar-SA"/>
              </w:rPr>
              <w:t>706 do CNCGJ/SC</w:t>
            </w:r>
            <w:r>
              <w:rPr>
                <w:rFonts w:cs="Calibri" w:ascii="Calibri" w:hAnsi="Calibri" w:cstheme="minorHAnsi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cstheme="minorHAnsi"/>
                <w:kern w:val="0"/>
                <w:sz w:val="24"/>
                <w:szCs w:val="24"/>
                <w:lang w:eastAsia="en-US" w:bidi="ar-SA"/>
              </w:rPr>
              <w:t>e</w:t>
            </w:r>
            <w:r>
              <w:rPr>
                <w:rFonts w:cs="Calibri" w:ascii="Calibri" w:hAnsi="Calibri" w:cstheme="minorHAnsi"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cstheme="minorHAnsi"/>
                <w:kern w:val="0"/>
                <w:sz w:val="24"/>
                <w:szCs w:val="24"/>
                <w:lang w:eastAsia="en-US" w:bidi="ar-SA"/>
              </w:rPr>
              <w:t>art.</w:t>
            </w:r>
            <w:r>
              <w:rPr>
                <w:rFonts w:cs="Calibri" w:ascii="Calibri" w:hAnsi="Calibri" w:cstheme="minorHAnsi"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cstheme="minorHAnsi"/>
                <w:kern w:val="0"/>
                <w:sz w:val="24"/>
                <w:szCs w:val="24"/>
                <w:lang w:eastAsia="en-US" w:bidi="ar-SA"/>
              </w:rPr>
              <w:t>176,</w:t>
            </w:r>
            <w:r>
              <w:rPr>
                <w:rFonts w:cs="Calibri" w:ascii="Calibri" w:hAnsi="Calibri" w:cstheme="minorHAnsi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cstheme="minorHAnsi"/>
                <w:kern w:val="0"/>
                <w:sz w:val="24"/>
                <w:szCs w:val="24"/>
                <w:lang w:eastAsia="en-US" w:bidi="ar-SA"/>
              </w:rPr>
              <w:t>III,</w:t>
            </w:r>
            <w:r>
              <w:rPr>
                <w:rFonts w:cs="Calibri" w:ascii="Calibri" w:hAnsi="Calibri" w:cstheme="minorHAnsi"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cstheme="minorHAnsi"/>
                <w:kern w:val="0"/>
                <w:sz w:val="24"/>
                <w:szCs w:val="24"/>
                <w:lang w:eastAsia="en-US" w:bidi="ar-SA"/>
              </w:rPr>
              <w:t>2,</w:t>
            </w:r>
            <w:r>
              <w:rPr>
                <w:rFonts w:cs="Calibri" w:ascii="Calibri" w:hAnsi="Calibri" w:cstheme="minorHAnsi"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cstheme="minorHAnsi"/>
                <w:kern w:val="0"/>
                <w:sz w:val="24"/>
                <w:szCs w:val="24"/>
                <w:lang w:eastAsia="en-US" w:bidi="ar-SA"/>
              </w:rPr>
              <w:t>“a”</w:t>
            </w:r>
            <w:r>
              <w:rPr>
                <w:rFonts w:cs="Calibri" w:ascii="Calibri" w:hAnsi="Calibri" w:cstheme="minorHAnsi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cstheme="minorHAnsi"/>
                <w:kern w:val="0"/>
                <w:sz w:val="24"/>
                <w:szCs w:val="24"/>
                <w:lang w:eastAsia="en-US" w:bidi="ar-SA"/>
              </w:rPr>
              <w:t>e “b”, da</w:t>
            </w:r>
            <w:r>
              <w:rPr>
                <w:rFonts w:cs="Calibri" w:ascii="Calibri" w:hAnsi="Calibri" w:cstheme="minorHAnsi"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cstheme="minorHAnsi"/>
                <w:kern w:val="0"/>
                <w:sz w:val="24"/>
                <w:szCs w:val="24"/>
                <w:lang w:eastAsia="en-US" w:bidi="ar-SA"/>
              </w:rPr>
              <w:t>Lei n.</w:t>
            </w:r>
            <w:r>
              <w:rPr>
                <w:rFonts w:cs="Calibri" w:ascii="Calibri" w:hAnsi="Calibri" w:cstheme="minorHAnsi"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cstheme="minorHAnsi"/>
                <w:kern w:val="0"/>
                <w:sz w:val="24"/>
                <w:szCs w:val="24"/>
                <w:lang w:eastAsia="en-US" w:bidi="ar-SA"/>
              </w:rPr>
              <w:t>6.015/1973)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</w:tr>
      <w:tr>
        <w:trPr>
          <w:trHeight w:val="436" w:hRule="atLeast"/>
        </w:trPr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 xml:space="preserve">3. </w:t>
            </w:r>
            <w:r>
              <w:rPr>
                <w:rFonts w:cs="Calibri" w:cstheme="minorHAnsi"/>
                <w:b/>
                <w:bCs/>
                <w:kern w:val="0"/>
                <w:sz w:val="22"/>
                <w:szCs w:val="22"/>
                <w:lang w:eastAsia="en-US" w:bidi="ar-SA"/>
              </w:rPr>
              <w:t>Caso seja necessária a ABERTURA DE MATRÍCULA nesta Serventia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 xml:space="preserve">, apresentar a certidão de inteiro teor, ônus e ações reais reipersecutórias relativas ao imóvel </w:t>
            </w:r>
          </w:p>
        </w:tc>
      </w:tr>
      <w:tr>
        <w:trPr>
          <w:trHeight w:val="436" w:hRule="atLeast"/>
        </w:trPr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 xml:space="preserve">4. </w:t>
            </w:r>
            <w:r>
              <w:rPr>
                <w:rFonts w:cs="Calibri" w:cstheme="minorHAnsi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Caso seja necessário averbar a atualização da localização do terreno ou o número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da inscrição imobiliária do imóvel na matrícula respectiva,</w:t>
            </w:r>
            <w:r>
              <w:rPr>
                <w:rFonts w:cs="Calibri" w:cstheme="minorHAnsi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 apresentar certidão expedida pelo Município de localização do imóvel.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u w:val="single"/>
                <w:lang w:eastAsia="en-US" w:bidi="ar-SA"/>
              </w:rPr>
              <w:t>Observação n. 1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: Para solicitar o mapa de localização deve ser apresentada a certidão de inteiro teor da matrícula que pode ser solicitada diretamente no Balcão deste Cartório ou via central eletrônica no </w:t>
            </w:r>
            <w:hyperlink r:id="rId2">
              <w:r>
                <w:rPr>
                  <w:rStyle w:val="LinkdaInternet"/>
                  <w:rFonts w:cs="Calibri" w:cstheme="minorHAnsi"/>
                  <w:color w:val="auto"/>
                  <w:kern w:val="0"/>
                  <w:sz w:val="24"/>
                  <w:szCs w:val="24"/>
                  <w:lang w:eastAsia="en-US" w:bidi="ar-SA"/>
                </w:rPr>
                <w:t>https://registradores.onr.org.br/</w:t>
              </w:r>
            </w:hyperlink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>
          <w:trHeight w:val="436" w:hRule="atLeast"/>
        </w:trPr>
        <w:tc>
          <w:tcPr>
            <w:tcW w:w="9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5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. Se o contrato versar sobre alienação de imóvel rural, deve constar no título ou ser apresentada: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280" w:afterAutospacing="0" w:after="0"/>
              <w:ind w:right="-568" w:hanging="0"/>
              <w:contextualSpacing/>
              <w:jc w:val="both"/>
              <w:textAlignment w:val="baselin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lang w:bidi="ar-SA"/>
              </w:rPr>
              <w:t>5.1. Prova de quitação do Imposto Territorial Rural - ITR</w:t>
            </w:r>
            <w:r>
              <w:rPr>
                <w:rFonts w:cs="Calibri" w:ascii="Calibri" w:hAnsi="Calibri" w:asciiTheme="minorHAnsi" w:cstheme="minorHAnsi" w:hAnsiTheme="minorHAnsi"/>
                <w:kern w:val="0"/>
                <w:lang w:bidi="ar-SA"/>
              </w:rPr>
              <w:t>, a ser expedida pela Receita Federal do Brasil,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280" w:afterAutospacing="0" w:after="0"/>
              <w:ind w:right="-568" w:hanging="0"/>
              <w:contextualSpacing/>
              <w:jc w:val="both"/>
              <w:textAlignment w:val="baselin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lang w:bidi="ar-SA"/>
              </w:rPr>
              <w:t>em atenção à Lei 9.393/1996;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280" w:afterAutospacing="0" w:after="0"/>
              <w:ind w:right="-568" w:hanging="0"/>
              <w:contextualSpacing/>
              <w:jc w:val="both"/>
              <w:textAlignment w:val="baselin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bidi="ar-SA"/>
              </w:rPr>
              <w:t xml:space="preserve">5.2.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lang w:bidi="ar-SA"/>
              </w:rPr>
              <w:t>Certificado de Cadastro de Imóvel Rural – CCIR</w:t>
            </w:r>
            <w:r>
              <w:rPr>
                <w:rFonts w:cs="Calibri" w:ascii="Calibri" w:hAnsi="Calibri" w:asciiTheme="minorHAnsi" w:cstheme="minorHAnsi" w:hAnsiTheme="minorHAnsi"/>
                <w:kern w:val="0"/>
                <w:lang w:bidi="ar-SA"/>
              </w:rPr>
              <w:t xml:space="preserve"> (exercício atual quitado), atenção ao artigo 22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280" w:afterAutospacing="0" w:after="0"/>
              <w:ind w:right="-568" w:hanging="0"/>
              <w:contextualSpacing/>
              <w:jc w:val="both"/>
              <w:textAlignment w:val="baselin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bidi="ar-SA"/>
              </w:rPr>
              <w:t>da Lei 4.504/1966;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280" w:afterAutospacing="0" w:after="0"/>
              <w:ind w:right="-568" w:hanging="0"/>
              <w:contextualSpacing/>
              <w:jc w:val="both"/>
              <w:textAlignment w:val="baselin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bidi="ar-SA"/>
              </w:rPr>
              <w:t xml:space="preserve">5.3.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lang w:bidi="ar-SA"/>
              </w:rPr>
              <w:t>Recibo de inscrição no Cadastro Ambiental Rural - CAR</w:t>
            </w:r>
            <w:r>
              <w:rPr>
                <w:rFonts w:cs="Calibri" w:ascii="Calibri" w:hAnsi="Calibri" w:asciiTheme="minorHAnsi" w:cstheme="minorHAnsi" w:hAnsiTheme="minorHAnsi"/>
                <w:kern w:val="0"/>
                <w:lang w:bidi="ar-SA"/>
              </w:rPr>
              <w:t>, em atenção à Lei 12.651/2012.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280" w:afterAutospacing="0" w:after="0"/>
              <w:ind w:right="-568" w:hanging="0"/>
              <w:contextualSpacing/>
              <w:jc w:val="both"/>
              <w:textAlignment w:val="baselin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tbl>
      <w:tblPr>
        <w:tblStyle w:val="TableNormal"/>
        <w:tblpPr w:bottomFromText="0" w:horzAnchor="margin" w:leftFromText="141" w:rightFromText="141" w:tblpX="137" w:tblpY="215" w:topFromText="0" w:vertAnchor="text"/>
        <w:tblW w:w="9980" w:type="dxa"/>
        <w:jc w:val="left"/>
        <w:tblInd w:w="16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9980"/>
      </w:tblGrid>
      <w:tr>
        <w:trPr>
          <w:trHeight w:val="272" w:hRule="atLeast"/>
        </w:trPr>
        <w:tc>
          <w:tcPr>
            <w:tcW w:w="9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1F3" w:val="clear"/>
          </w:tcPr>
          <w:p>
            <w:pPr>
              <w:pStyle w:val="TableParagraph"/>
              <w:widowControl w:val="false"/>
              <w:suppressAutoHyphens w:val="true"/>
              <w:spacing w:before="99" w:after="0"/>
              <w:ind w:left="1238" w:right="123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>EMOLUMENTOS</w:t>
            </w:r>
            <w:r>
              <w:rPr>
                <w:b/>
                <w:spacing w:val="-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DEVIDOS</w:t>
            </w:r>
            <w:r>
              <w:rPr>
                <w:b/>
                <w:spacing w:val="-6"/>
                <w:kern w:val="0"/>
                <w:sz w:val="20"/>
                <w:szCs w:val="22"/>
                <w:lang w:eastAsia="en-US" w:bidi="ar-SA"/>
              </w:rPr>
              <w:t xml:space="preserve"> PARA O REGISTRO DE CONTRATOS COM FORÇA DE ESCRITURA</w:t>
            </w:r>
          </w:p>
        </w:tc>
      </w:tr>
      <w:tr>
        <w:trPr>
          <w:trHeight w:val="675" w:hRule="atLeast"/>
        </w:trPr>
        <w:tc>
          <w:tcPr>
            <w:tcW w:w="9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78" w:after="0"/>
              <w:ind w:left="107" w:right="93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De acordo com a Lei Complementar n. 755/2019 do Estado de Santa Catarina, a cobrança dos emolumentos para o ato de registro se dá com base no item 2.2, e para atos de avrerbação de especialidade objetiva ou subjetiva de acordo com o item 2.1,  ambos da Tabela III -  Atos do Oficial de Registro de Imóveis.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740" w:right="860" w:header="720" w:top="2780" w:footer="680" w:bottom="737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DejaVuSan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Calibri" w:hAnsi="Calibri"/>
        <w:sz w:val="18"/>
        <w:szCs w:val="18"/>
      </w:rPr>
    </w:pPr>
    <w:r>
      <w:rPr>
        <w:sz w:val="18"/>
        <w:szCs w:val="18"/>
        <w:lang w:val="pt-BR"/>
      </w:rPr>
      <w:t>Rua Amazonas, n. 221, Sala 01, Centro, Coronel Freitas/SC – CEP 89.840-000</w:t>
    </w:r>
  </w:p>
  <w:p>
    <w:pPr>
      <w:pStyle w:val="Rodap"/>
      <w:spacing w:before="0" w:after="0"/>
      <w:contextualSpacing/>
      <w:jc w:val="center"/>
      <w:rPr>
        <w:sz w:val="18"/>
        <w:szCs w:val="18"/>
      </w:rPr>
    </w:pPr>
    <w:r>
      <w:rPr>
        <w:rStyle w:val="Fontstyle01"/>
        <w:rFonts w:cs="Arial"/>
        <w:sz w:val="18"/>
        <w:szCs w:val="18"/>
        <w:lang w:val="pt-BR"/>
      </w:rPr>
      <w:t>Fone / Whatsapp (49) 3347-1355 E-mail: ricoronelfreitas@gmail.com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9"/>
      <w:jc w:val="left"/>
      <w:rPr>
        <w:b w:val="false"/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5" wp14:anchorId="192250DF">
              <wp:simplePos x="0" y="0"/>
              <wp:positionH relativeFrom="page">
                <wp:posOffset>1167130</wp:posOffset>
              </wp:positionH>
              <wp:positionV relativeFrom="page">
                <wp:posOffset>1034415</wp:posOffset>
              </wp:positionV>
              <wp:extent cx="5229225" cy="753745"/>
              <wp:effectExtent l="0" t="0" r="0" b="0"/>
              <wp:wrapNone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28640" cy="753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  <w:t>ESTADO DE SANTA CATARINA</w:t>
                          </w:r>
                        </w:p>
                        <w:p>
                          <w:pPr>
                            <w:pStyle w:val="Corpodotexto"/>
                            <w:spacing w:before="1" w:after="0"/>
                            <w:ind w:left="20" w:right="18" w:hanging="0"/>
                            <w:rPr>
                              <w:rFonts w:ascii="Calibri" w:hAnsi="Calibri" w:eastAsia="Calibri" w:cs="Calibri"/>
                              <w:bCs w:val="false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Cs w:val="false"/>
                              <w:color w:val="000000"/>
                              <w:sz w:val="22"/>
                              <w:szCs w:val="22"/>
                            </w:rPr>
                            <w:t>OFÍCIO DE REGISTRO DE IMÓVEIS DA COMARCA DE CORONEL FREITAS/SC</w:t>
                          </w:r>
                        </w:p>
                        <w:p>
                          <w:pPr>
                            <w:pStyle w:val="Corpodotexto"/>
                            <w:spacing w:before="1" w:after="0"/>
                            <w:ind w:left="20" w:right="18" w:hanging="0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bCs w:val="false"/>
                              <w:color w:val="000000"/>
                              <w:sz w:val="22"/>
                              <w:szCs w:val="22"/>
                            </w:rPr>
                            <w:t>Katherine Scherer Clarinda - Oficiala Registradora</w:t>
                          </w:r>
                        </w:p>
                      </w:txbxContent>
                    </wps:txbx>
                    <wps:bodyPr lIns="0" rIns="0" t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style="position:absolute;margin-left:91.9pt;margin-top:81.45pt;width:411.65pt;height:59.25pt;mso-wrap-style:square;v-text-anchor:top;mso-position-horizontal-relative:page;mso-position-vertical-relative:page" wp14:anchorId="192250D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  <w:color w:val="000000"/>
                      </w:rPr>
                      <w:t>ESTADO DE SANTA CATARINA</w:t>
                    </w:r>
                  </w:p>
                  <w:p>
                    <w:pPr>
                      <w:pStyle w:val="Corpodotexto"/>
                      <w:spacing w:before="1" w:after="0"/>
                      <w:ind w:left="20" w:right="18" w:hanging="0"/>
                      <w:rPr>
                        <w:rFonts w:ascii="Calibri" w:hAnsi="Calibri" w:eastAsia="Calibri" w:cs="Calibri"/>
                        <w:bCs w:val="false"/>
                        <w:sz w:val="22"/>
                        <w:szCs w:val="22"/>
                      </w:rPr>
                    </w:pPr>
                    <w:r>
                      <w:rPr>
                        <w:rFonts w:eastAsia="Calibri" w:cs="Calibri" w:ascii="Calibri" w:hAnsi="Calibri"/>
                        <w:bCs w:val="false"/>
                        <w:color w:val="000000"/>
                        <w:sz w:val="22"/>
                        <w:szCs w:val="22"/>
                      </w:rPr>
                      <w:t>OFÍCIO DE REGISTRO DE IMÓVEIS DA COMARCA DE CORONEL FREITAS/SC</w:t>
                    </w:r>
                  </w:p>
                  <w:p>
                    <w:pPr>
                      <w:pStyle w:val="Corpodotexto"/>
                      <w:spacing w:before="1" w:after="0"/>
                      <w:ind w:left="20" w:right="18" w:hanging="0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bCs w:val="false"/>
                        <w:color w:val="000000"/>
                        <w:sz w:val="22"/>
                        <w:szCs w:val="22"/>
                      </w:rPr>
                      <w:t>Katherine Scherer Clarinda - Oficiala Registradora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3519170</wp:posOffset>
          </wp:positionH>
          <wp:positionV relativeFrom="page">
            <wp:posOffset>457200</wp:posOffset>
          </wp:positionV>
          <wp:extent cx="523875" cy="571500"/>
          <wp:effectExtent l="0" t="0" r="0" b="0"/>
          <wp:wrapNone/>
          <wp:docPr id="3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842703"/>
    <w:rPr>
      <w:rFonts w:ascii="Calibri" w:hAnsi="Calibri" w:eastAsia="Calibri" w:cs="Calibri"/>
      <w:lang w:val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842703"/>
    <w:rPr>
      <w:rFonts w:ascii="Calibri" w:hAnsi="Calibri" w:eastAsia="Calibri" w:cs="Calibri"/>
      <w:lang w:val="pt-PT"/>
    </w:rPr>
  </w:style>
  <w:style w:type="character" w:styleId="Fontstyle01" w:customStyle="1">
    <w:name w:val="fontstyle01"/>
    <w:basedOn w:val="DefaultParagraphFont"/>
    <w:qFormat/>
    <w:rsid w:val="00842703"/>
    <w:rPr>
      <w:rFonts w:ascii="DejaVuSans" w:hAnsi="DejaVuSans"/>
      <w:b w:val="false"/>
      <w:bCs w:val="false"/>
      <w:i w:val="false"/>
      <w:iCs w:val="false"/>
      <w:color w:val="000000"/>
      <w:sz w:val="26"/>
      <w:szCs w:val="26"/>
    </w:rPr>
  </w:style>
  <w:style w:type="character" w:styleId="Hyperlink1" w:customStyle="1">
    <w:name w:val="Hyperlink1"/>
    <w:basedOn w:val="DefaultParagraphFont"/>
    <w:uiPriority w:val="99"/>
    <w:unhideWhenUsed/>
    <w:qFormat/>
    <w:rsid w:val="00e81ee3"/>
    <w:rPr>
      <w:color w:val="0000FF" w:themeColor="hyperlink"/>
      <w:u w:val="single"/>
    </w:rPr>
  </w:style>
  <w:style w:type="character" w:styleId="LinkdaInternet">
    <w:name w:val="Link da Internet"/>
    <w:basedOn w:val="DefaultParagraphFont"/>
    <w:uiPriority w:val="99"/>
    <w:unhideWhenUsed/>
    <w:rsid w:val="00e81ee3"/>
    <w:rPr>
      <w:color w:val="0000FF" w:themeColor="hyperlink"/>
      <w:u w:val="single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b57dbe"/>
    <w:rPr>
      <w:rFonts w:ascii="Calibri" w:hAnsi="Calibri" w:eastAsia="Calibri" w:cs="Calibri"/>
      <w:sz w:val="20"/>
      <w:szCs w:val="20"/>
      <w:lang w:val="pt-PT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b57dbe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>
      <w:jc w:val="center"/>
    </w:pPr>
    <w:rPr>
      <w:rFonts w:ascii="Arial" w:hAnsi="Arial" w:eastAsia="Arial" w:cs="Arial"/>
      <w:b/>
      <w:bCs/>
      <w:sz w:val="20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ind w:left="107" w:hanging="0"/>
      <w:jc w:val="both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842703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842703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364b4b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en-US" w:bidi="ar-SA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b57dbe"/>
    <w:pPr/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291a63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gistradores.onr.org.br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EA927-1F68-4A96-ADA2-6A45D51BC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LibreOffice/7.1.1.2$Windows_X86_64 LibreOffice_project/fe0b08f4af1bacafe4c7ecc87ce55bb426164676</Application>
  <AppVersion>15.0000</AppVersion>
  <Pages>2</Pages>
  <Words>651</Words>
  <Characters>3548</Characters>
  <CharactersWithSpaces>4181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2023-12-11T20:55:00Z</dcterms:created>
  <dc:creator>Cliente</dc:creator>
  <dc:description/>
  <dc:language>pt-BR</dc:language>
  <cp:lastModifiedBy/>
  <cp:lastPrinted>2023-12-11T20:27:00Z</cp:lastPrinted>
  <dcterms:modified xsi:type="dcterms:W3CDTF">2024-07-18T13:23:45Z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2023-11-30T00:00:00Z</vt:filetime>
  </property>
</Properties>
</file>